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5EB0" w14:textId="77777777" w:rsidR="00FA55D6" w:rsidRPr="000F4E08" w:rsidRDefault="002B2240" w:rsidP="002B2240">
      <w:pPr>
        <w:spacing w:after="0"/>
      </w:pPr>
      <w:r w:rsidRPr="000F4E08">
        <w:rPr>
          <w:noProof/>
        </w:rPr>
        <w:drawing>
          <wp:anchor distT="114300" distB="114300" distL="114300" distR="114300" simplePos="0" relativeHeight="251659264" behindDoc="0" locked="0" layoutInCell="1" hidden="0" allowOverlap="1" wp14:anchorId="08351E35" wp14:editId="5F6A23A5">
            <wp:simplePos x="0" y="0"/>
            <wp:positionH relativeFrom="margin">
              <wp:align>left</wp:align>
            </wp:positionH>
            <wp:positionV relativeFrom="paragraph">
              <wp:posOffset>0</wp:posOffset>
            </wp:positionV>
            <wp:extent cx="1600200" cy="969264"/>
            <wp:effectExtent l="0" t="0" r="0" b="254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00200" cy="969264"/>
                    </a:xfrm>
                    <a:prstGeom prst="rect">
                      <a:avLst/>
                    </a:prstGeom>
                    <a:ln/>
                  </pic:spPr>
                </pic:pic>
              </a:graphicData>
            </a:graphic>
            <wp14:sizeRelH relativeFrom="margin">
              <wp14:pctWidth>0</wp14:pctWidth>
            </wp14:sizeRelH>
            <wp14:sizeRelV relativeFrom="margin">
              <wp14:pctHeight>0</wp14:pctHeight>
            </wp14:sizeRelV>
          </wp:anchor>
        </w:drawing>
      </w:r>
      <w:r w:rsidRPr="000F4E08">
        <w:t xml:space="preserve">    </w:t>
      </w:r>
    </w:p>
    <w:p w14:paraId="236664C8" w14:textId="6DAB5E94" w:rsidR="00D449CA" w:rsidRPr="000F4E08" w:rsidRDefault="002B2240" w:rsidP="002B2240">
      <w:pPr>
        <w:spacing w:after="0"/>
        <w:rPr>
          <w:sz w:val="28"/>
          <w:szCs w:val="28"/>
        </w:rPr>
      </w:pPr>
      <w:r w:rsidRPr="000F4E08">
        <w:t xml:space="preserve"> </w:t>
      </w:r>
      <w:r w:rsidR="00FA55D6" w:rsidRPr="000F4E08">
        <w:t xml:space="preserve">    </w:t>
      </w:r>
      <w:r w:rsidRPr="000F4E08">
        <w:rPr>
          <w:sz w:val="28"/>
          <w:szCs w:val="28"/>
        </w:rPr>
        <w:t>Engaging Decision Makers on Attainment Targets</w:t>
      </w:r>
    </w:p>
    <w:p w14:paraId="2EBF1431" w14:textId="72D7E2AB" w:rsidR="002B2240" w:rsidRPr="000F4E08" w:rsidRDefault="002B2240" w:rsidP="002B2240">
      <w:pPr>
        <w:spacing w:after="0"/>
        <w:rPr>
          <w:sz w:val="28"/>
          <w:szCs w:val="28"/>
        </w:rPr>
      </w:pPr>
      <w:r w:rsidRPr="000F4E08">
        <w:rPr>
          <w:sz w:val="28"/>
          <w:szCs w:val="28"/>
        </w:rPr>
        <w:t xml:space="preserve">    and Student Success</w:t>
      </w:r>
    </w:p>
    <w:p w14:paraId="5F1FBF91" w14:textId="31FE5C62" w:rsidR="002B2240" w:rsidRPr="000F4E08" w:rsidRDefault="002B2240" w:rsidP="002B2240">
      <w:pPr>
        <w:spacing w:after="0"/>
        <w:rPr>
          <w:sz w:val="28"/>
          <w:szCs w:val="28"/>
        </w:rPr>
      </w:pPr>
    </w:p>
    <w:p w14:paraId="062AFA9D" w14:textId="5D29902B" w:rsidR="00C6239C" w:rsidRPr="000F4E08" w:rsidRDefault="00C6239C" w:rsidP="002B2240">
      <w:pPr>
        <w:spacing w:after="0"/>
        <w:rPr>
          <w:sz w:val="28"/>
          <w:szCs w:val="28"/>
        </w:rPr>
      </w:pPr>
    </w:p>
    <w:p w14:paraId="01D41677" w14:textId="0C9B894C" w:rsidR="00841DE7" w:rsidRPr="000F4E08" w:rsidRDefault="00841DE7" w:rsidP="00366F58">
      <w:pPr>
        <w:spacing w:after="0"/>
        <w:jc w:val="center"/>
        <w:rPr>
          <w:sz w:val="28"/>
          <w:szCs w:val="28"/>
        </w:rPr>
      </w:pPr>
    </w:p>
    <w:p w14:paraId="189E6EB9" w14:textId="77777777" w:rsidR="00357D21" w:rsidRDefault="00357D21" w:rsidP="00F91B7C">
      <w:pPr>
        <w:spacing w:after="0"/>
        <w:jc w:val="center"/>
        <w:rPr>
          <w:sz w:val="32"/>
          <w:szCs w:val="32"/>
        </w:rPr>
      </w:pPr>
    </w:p>
    <w:p w14:paraId="3A2B017D" w14:textId="4B1FA8E0" w:rsidR="00841DE7" w:rsidRPr="00F91B7C" w:rsidRDefault="00375690" w:rsidP="00F91B7C">
      <w:pPr>
        <w:spacing w:after="0"/>
        <w:jc w:val="center"/>
        <w:rPr>
          <w:sz w:val="32"/>
          <w:szCs w:val="32"/>
        </w:rPr>
      </w:pPr>
      <w:r w:rsidRPr="000F4E08">
        <w:rPr>
          <w:sz w:val="32"/>
          <w:szCs w:val="32"/>
        </w:rPr>
        <w:t>Report on Project Virtual Conversations</w:t>
      </w:r>
    </w:p>
    <w:p w14:paraId="29D93A18" w14:textId="5B7A0E09" w:rsidR="00F67386" w:rsidRPr="000F4E08" w:rsidRDefault="00F67386" w:rsidP="001337EF">
      <w:pPr>
        <w:spacing w:after="0"/>
      </w:pPr>
    </w:p>
    <w:p w14:paraId="4F22FEF3" w14:textId="77777777" w:rsidR="00841DE7" w:rsidRPr="000F4E08" w:rsidRDefault="00841DE7" w:rsidP="00366F58">
      <w:pPr>
        <w:spacing w:after="0"/>
        <w:jc w:val="center"/>
        <w:rPr>
          <w:sz w:val="28"/>
          <w:szCs w:val="28"/>
        </w:rPr>
      </w:pPr>
    </w:p>
    <w:p w14:paraId="3C55943B" w14:textId="7B4DCB1F" w:rsidR="00743776" w:rsidRPr="000F4E08" w:rsidRDefault="00743776" w:rsidP="00366F58">
      <w:pPr>
        <w:spacing w:after="0"/>
        <w:jc w:val="center"/>
        <w:rPr>
          <w:sz w:val="28"/>
          <w:szCs w:val="28"/>
        </w:rPr>
      </w:pPr>
      <w:r w:rsidRPr="000F4E08">
        <w:rPr>
          <w:sz w:val="28"/>
          <w:szCs w:val="28"/>
        </w:rPr>
        <w:t>Executive Summary</w:t>
      </w:r>
      <w:r w:rsidR="00EF275F">
        <w:rPr>
          <w:sz w:val="28"/>
          <w:szCs w:val="28"/>
        </w:rPr>
        <w:t xml:space="preserve"> - Highlights</w:t>
      </w:r>
    </w:p>
    <w:p w14:paraId="5544E90E" w14:textId="4D06920D" w:rsidR="00743776" w:rsidRPr="000F4E08" w:rsidRDefault="00743776" w:rsidP="00743776">
      <w:pPr>
        <w:spacing w:after="0"/>
        <w:rPr>
          <w:sz w:val="28"/>
          <w:szCs w:val="28"/>
        </w:rPr>
      </w:pPr>
    </w:p>
    <w:p w14:paraId="62AEF024" w14:textId="77777777" w:rsidR="003C4B3E" w:rsidRPr="000F4E08" w:rsidRDefault="003C4B3E" w:rsidP="003C4B3E">
      <w:pPr>
        <w:spacing w:after="0"/>
        <w:rPr>
          <w:b/>
        </w:rPr>
      </w:pPr>
      <w:r w:rsidRPr="000F4E08">
        <w:rPr>
          <w:b/>
        </w:rPr>
        <w:t>“Transfer should not be a consolation prize.”</w:t>
      </w:r>
    </w:p>
    <w:p w14:paraId="101DCF86" w14:textId="77777777" w:rsidR="003C4B3E" w:rsidRPr="000F4E08" w:rsidRDefault="003C4B3E" w:rsidP="00743776">
      <w:pPr>
        <w:spacing w:after="0"/>
        <w:rPr>
          <w:sz w:val="28"/>
          <w:szCs w:val="28"/>
        </w:rPr>
      </w:pPr>
    </w:p>
    <w:p w14:paraId="541FB472" w14:textId="2C42A85A" w:rsidR="00743776" w:rsidRPr="000F4E08" w:rsidRDefault="00B00EAE" w:rsidP="00743776">
      <w:pPr>
        <w:spacing w:after="0"/>
      </w:pPr>
      <w:r w:rsidRPr="000F4E08">
        <w:t xml:space="preserve">The conversations that filled </w:t>
      </w:r>
      <w:r w:rsidR="004E435D" w:rsidRPr="000F4E08">
        <w:t xml:space="preserve">twenty-four hours between April </w:t>
      </w:r>
      <w:r w:rsidR="0082688E" w:rsidRPr="000F4E08">
        <w:t xml:space="preserve">28 and June 25 </w:t>
      </w:r>
      <w:r w:rsidR="00F75159" w:rsidRPr="000F4E08">
        <w:t xml:space="preserve">were robust, thoughtful, and enlightening.  </w:t>
      </w:r>
      <w:r w:rsidR="000C0F02" w:rsidRPr="000F4E08">
        <w:t xml:space="preserve">They also were thought-provoking </w:t>
      </w:r>
      <w:r w:rsidR="00EF2C16" w:rsidRPr="000F4E08">
        <w:t>and</w:t>
      </w:r>
      <w:r w:rsidR="009869A4" w:rsidRPr="000F4E08">
        <w:t>,</w:t>
      </w:r>
      <w:r w:rsidR="00EF2C16" w:rsidRPr="000F4E08">
        <w:t xml:space="preserve"> in many instances</w:t>
      </w:r>
      <w:r w:rsidR="009869A4" w:rsidRPr="000F4E08">
        <w:t>,</w:t>
      </w:r>
      <w:r w:rsidR="00EF2C16" w:rsidRPr="000F4E08">
        <w:t xml:space="preserve"> a call to action.</w:t>
      </w:r>
      <w:r w:rsidR="000E1117" w:rsidRPr="000F4E08">
        <w:t xml:space="preserve">  </w:t>
      </w:r>
      <w:r w:rsidR="000E1117" w:rsidRPr="000F4E08">
        <w:rPr>
          <w:u w:val="single"/>
        </w:rPr>
        <w:t>The report</w:t>
      </w:r>
      <w:r w:rsidR="000E1117" w:rsidRPr="000F4E08">
        <w:t xml:space="preserve"> for which this document serves as an executive summary contains </w:t>
      </w:r>
      <w:r w:rsidR="00AF01F3" w:rsidRPr="000F4E08">
        <w:t xml:space="preserve">myriad findings and recommendations, along with a lengthy list of resources </w:t>
      </w:r>
      <w:r w:rsidR="0042516F" w:rsidRPr="000F4E08">
        <w:t xml:space="preserve">to be added to as the future </w:t>
      </w:r>
      <w:r w:rsidR="005B77E9" w:rsidRPr="000F4E08">
        <w:t>unfold</w:t>
      </w:r>
      <w:r w:rsidR="00235F9A" w:rsidRPr="000F4E08">
        <w:t>s for NYSCAC and its members.</w:t>
      </w:r>
    </w:p>
    <w:p w14:paraId="04A524B4" w14:textId="4E7DCAC2" w:rsidR="00543497" w:rsidRPr="000F4E08" w:rsidRDefault="00543497" w:rsidP="00743776">
      <w:pPr>
        <w:spacing w:after="0"/>
      </w:pPr>
    </w:p>
    <w:p w14:paraId="4AD84540" w14:textId="63F38949" w:rsidR="00543497" w:rsidRPr="000F4E08" w:rsidRDefault="00462B08" w:rsidP="00743776">
      <w:pPr>
        <w:spacing w:after="0"/>
      </w:pPr>
      <w:r w:rsidRPr="000F4E08">
        <w:t xml:space="preserve">In drafting the report, three themes emerged: Consideration, </w:t>
      </w:r>
      <w:r w:rsidR="009F2B56" w:rsidRPr="000F4E08">
        <w:t xml:space="preserve">Collaboration, and </w:t>
      </w:r>
      <w:r w:rsidRPr="000F4E08">
        <w:t>Communication.</w:t>
      </w:r>
      <w:r w:rsidR="00FD065B" w:rsidRPr="000F4E08">
        <w:t xml:space="preserve">  The two hundred ninety-eight participants represented the full spectrum </w:t>
      </w:r>
      <w:r w:rsidR="007E05FA" w:rsidRPr="000F4E08">
        <w:t>of what could be considered the higher education “village</w:t>
      </w:r>
      <w:r w:rsidR="00527310" w:rsidRPr="000F4E08">
        <w:t>:</w:t>
      </w:r>
      <w:r w:rsidR="007E05FA" w:rsidRPr="000F4E08">
        <w:t>”</w:t>
      </w:r>
      <w:r w:rsidR="00527310" w:rsidRPr="000F4E08">
        <w:t xml:space="preserve"> community based organizations</w:t>
      </w:r>
      <w:r w:rsidR="00491141" w:rsidRPr="000F4E08">
        <w:t xml:space="preserve"> that support </w:t>
      </w:r>
      <w:r w:rsidR="001B53D1" w:rsidRPr="000F4E08">
        <w:t xml:space="preserve">access to </w:t>
      </w:r>
      <w:r w:rsidR="00491141" w:rsidRPr="000F4E08">
        <w:t xml:space="preserve">postsecondary </w:t>
      </w:r>
      <w:r w:rsidR="00720EEF" w:rsidRPr="000F4E08">
        <w:t>education, secondary school counselors, independent college counselors, community college</w:t>
      </w:r>
      <w:r w:rsidR="00A63D01" w:rsidRPr="000F4E08">
        <w:t xml:space="preserve"> advisor</w:t>
      </w:r>
      <w:r w:rsidR="00720EEF" w:rsidRPr="000F4E08">
        <w:t>s</w:t>
      </w:r>
      <w:r w:rsidR="00BB3BB7" w:rsidRPr="000F4E08">
        <w:t>,</w:t>
      </w:r>
      <w:r w:rsidR="005C0D4E" w:rsidRPr="000F4E08">
        <w:t xml:space="preserve"> </w:t>
      </w:r>
      <w:r w:rsidR="00BB3BB7" w:rsidRPr="000F4E08">
        <w:t>four-year institution</w:t>
      </w:r>
      <w:r w:rsidR="00A63D01" w:rsidRPr="000F4E08">
        <w:t xml:space="preserve"> enrollment staff</w:t>
      </w:r>
      <w:r w:rsidR="000D4D87" w:rsidRPr="000F4E08">
        <w:t xml:space="preserve">, and state </w:t>
      </w:r>
      <w:r w:rsidR="00507231" w:rsidRPr="000F4E08">
        <w:t>higher ed policy makers</w:t>
      </w:r>
      <w:r w:rsidR="00BB3BB7" w:rsidRPr="000F4E08">
        <w:t xml:space="preserve">. </w:t>
      </w:r>
      <w:r w:rsidR="005C0D4E" w:rsidRPr="000F4E08">
        <w:t xml:space="preserve">And, while it </w:t>
      </w:r>
      <w:r w:rsidR="00716ACC" w:rsidRPr="000F4E08">
        <w:t xml:space="preserve">was natural throughout the Virtual Conversation series to frame these issues within the context of </w:t>
      </w:r>
      <w:r w:rsidR="00D62504" w:rsidRPr="000F4E08">
        <w:t xml:space="preserve">the ever-present COVID-19 pandemic, </w:t>
      </w:r>
      <w:r w:rsidR="0093648B" w:rsidRPr="000F4E08">
        <w:t xml:space="preserve">most of the issues raised </w:t>
      </w:r>
      <w:r w:rsidR="008C2753" w:rsidRPr="000F4E08">
        <w:t xml:space="preserve">and discussed </w:t>
      </w:r>
      <w:r w:rsidR="0093648B" w:rsidRPr="000F4E08">
        <w:t>existed p</w:t>
      </w:r>
      <w:r w:rsidR="00A41B6F" w:rsidRPr="000F4E08">
        <w:t>rior to this tragic situation</w:t>
      </w:r>
      <w:r w:rsidR="00C835EA" w:rsidRPr="000F4E08">
        <w:t xml:space="preserve">.  The disruption </w:t>
      </w:r>
      <w:r w:rsidR="006B0E15" w:rsidRPr="000F4E08">
        <w:t xml:space="preserve">simply exposed </w:t>
      </w:r>
      <w:r w:rsidR="00E6278D" w:rsidRPr="000F4E08">
        <w:t xml:space="preserve">many of </w:t>
      </w:r>
      <w:r w:rsidR="006B0E15" w:rsidRPr="000F4E08">
        <w:t>these vulnerabilities to a greater degree</w:t>
      </w:r>
      <w:r w:rsidR="003C233D" w:rsidRPr="000F4E08">
        <w:t xml:space="preserve">, making it more imperative that </w:t>
      </w:r>
      <w:r w:rsidR="008367F0" w:rsidRPr="000F4E08">
        <w:t>the</w:t>
      </w:r>
      <w:r w:rsidR="00226A50" w:rsidRPr="000F4E08">
        <w:t>y</w:t>
      </w:r>
      <w:r w:rsidR="008367F0" w:rsidRPr="000F4E08">
        <w:t xml:space="preserve"> are remedied as </w:t>
      </w:r>
      <w:r w:rsidR="00A902BE" w:rsidRPr="000F4E08">
        <w:t xml:space="preserve">New York and </w:t>
      </w:r>
      <w:r w:rsidR="008367F0" w:rsidRPr="000F4E08">
        <w:t xml:space="preserve">the </w:t>
      </w:r>
      <w:r w:rsidR="0040120B" w:rsidRPr="000F4E08">
        <w:t>country</w:t>
      </w:r>
      <w:r w:rsidR="00A902BE" w:rsidRPr="000F4E08">
        <w:t xml:space="preserve"> in general</w:t>
      </w:r>
      <w:r w:rsidR="0040120B" w:rsidRPr="000F4E08">
        <w:t xml:space="preserve"> move into the post-COVID normality.</w:t>
      </w:r>
    </w:p>
    <w:p w14:paraId="55A195F1" w14:textId="330213D2" w:rsidR="00226A50" w:rsidRPr="000F4E08" w:rsidRDefault="00226A50" w:rsidP="00743776">
      <w:pPr>
        <w:spacing w:after="0"/>
      </w:pPr>
    </w:p>
    <w:p w14:paraId="40F2A88A" w14:textId="159FE9CD" w:rsidR="00C36A73" w:rsidRPr="000F4E08" w:rsidRDefault="00C36A73" w:rsidP="00743776">
      <w:pPr>
        <w:spacing w:after="0"/>
        <w:rPr>
          <w:b/>
          <w:bCs/>
        </w:rPr>
      </w:pPr>
      <w:r w:rsidRPr="000F4E08">
        <w:rPr>
          <w:b/>
          <w:bCs/>
        </w:rPr>
        <w:t>Consideration:</w:t>
      </w:r>
    </w:p>
    <w:p w14:paraId="32D914B2" w14:textId="4CFBC57C" w:rsidR="00C36A73" w:rsidRPr="000F4E08" w:rsidRDefault="00C36A73" w:rsidP="00743776">
      <w:pPr>
        <w:spacing w:after="0"/>
      </w:pPr>
    </w:p>
    <w:p w14:paraId="12036F4C" w14:textId="77777777" w:rsidR="008A6D95" w:rsidRPr="000F4E08" w:rsidRDefault="00C36A73" w:rsidP="00743776">
      <w:pPr>
        <w:spacing w:after="0"/>
      </w:pPr>
      <w:r w:rsidRPr="000F4E08">
        <w:t xml:space="preserve">Throughout these </w:t>
      </w:r>
      <w:r w:rsidR="00674084" w:rsidRPr="000F4E08">
        <w:t xml:space="preserve">rich and lively conversations, it was clear that taking time to consider </w:t>
      </w:r>
      <w:r w:rsidR="00364AB6" w:rsidRPr="000F4E08">
        <w:t xml:space="preserve">the role each </w:t>
      </w:r>
      <w:r w:rsidR="00AD35A9" w:rsidRPr="000F4E08">
        <w:t>person</w:t>
      </w:r>
      <w:r w:rsidR="00364AB6" w:rsidRPr="000F4E08">
        <w:t xml:space="preserve"> can play in encouraging and supporting students as they strive to realize their dreams </w:t>
      </w:r>
      <w:r w:rsidR="00AD35A9" w:rsidRPr="000F4E08">
        <w:t xml:space="preserve">is important.  </w:t>
      </w:r>
    </w:p>
    <w:p w14:paraId="07946080" w14:textId="77777777" w:rsidR="008A6D95" w:rsidRPr="000F4E08" w:rsidRDefault="008A6D95" w:rsidP="00743776">
      <w:pPr>
        <w:spacing w:after="0"/>
      </w:pPr>
    </w:p>
    <w:p w14:paraId="71D3F132" w14:textId="6246C5CC" w:rsidR="00C36A73" w:rsidRPr="000F4E08" w:rsidRDefault="007C37C0" w:rsidP="00743776">
      <w:pPr>
        <w:spacing w:after="0"/>
      </w:pPr>
      <w:r w:rsidRPr="000F4E08">
        <w:t xml:space="preserve">“That would have been helpful to </w:t>
      </w:r>
      <w:r w:rsidR="00EE7646" w:rsidRPr="000F4E08">
        <w:t>know when I was working with my students.”</w:t>
      </w:r>
      <w:r w:rsidR="00A67CFA" w:rsidRPr="000F4E08">
        <w:t xml:space="preserve"> “I never </w:t>
      </w:r>
      <w:r w:rsidR="00D32652" w:rsidRPr="000F4E08">
        <w:t>realized there was a process in place for that</w:t>
      </w:r>
      <w:r w:rsidR="00A130AD" w:rsidRPr="000F4E08">
        <w:t>.”</w:t>
      </w:r>
      <w:r w:rsidR="001507B6" w:rsidRPr="000F4E08">
        <w:t xml:space="preserve"> “Many of my students could benefit from</w:t>
      </w:r>
      <w:r w:rsidR="002D6B83" w:rsidRPr="000F4E08">
        <w:t xml:space="preserve"> </w:t>
      </w:r>
      <w:r w:rsidR="005F4C2E" w:rsidRPr="000F4E08">
        <w:t>beginning their higher ed journeys at community colleges, but it is unclear how four-year schools</w:t>
      </w:r>
      <w:r w:rsidR="00960BE1" w:rsidRPr="000F4E08">
        <w:t xml:space="preserve"> will view them as transfer candidates.”</w:t>
      </w:r>
      <w:r w:rsidR="001D27ED" w:rsidRPr="000F4E08">
        <w:t xml:space="preserve"> “That CBO’s financial literacy program </w:t>
      </w:r>
      <w:r w:rsidR="009E2A9A" w:rsidRPr="000F4E08">
        <w:t xml:space="preserve">seems </w:t>
      </w:r>
      <w:proofErr w:type="gramStart"/>
      <w:r w:rsidR="009E2A9A" w:rsidRPr="000F4E08">
        <w:t>very helpful</w:t>
      </w:r>
      <w:proofErr w:type="gramEnd"/>
      <w:r w:rsidR="009E2A9A" w:rsidRPr="000F4E08">
        <w:t xml:space="preserve">. Many of my students </w:t>
      </w:r>
      <w:r w:rsidR="00706267" w:rsidRPr="000F4E08">
        <w:t xml:space="preserve">– and their families – </w:t>
      </w:r>
      <w:r w:rsidR="009E2A9A" w:rsidRPr="000F4E08">
        <w:t xml:space="preserve">need that </w:t>
      </w:r>
      <w:r w:rsidR="00706267" w:rsidRPr="000F4E08">
        <w:t>kind of information.”</w:t>
      </w:r>
    </w:p>
    <w:p w14:paraId="501EFEE5" w14:textId="50258496" w:rsidR="008A6D95" w:rsidRPr="000F4E08" w:rsidRDefault="008A6D95" w:rsidP="00743776">
      <w:pPr>
        <w:spacing w:after="0"/>
      </w:pPr>
    </w:p>
    <w:p w14:paraId="4A5C4FD3" w14:textId="297FAE0D" w:rsidR="008A6D95" w:rsidRPr="000F4E08" w:rsidRDefault="008A6D95" w:rsidP="00743776">
      <w:pPr>
        <w:spacing w:after="0"/>
      </w:pPr>
      <w:r w:rsidRPr="000F4E08">
        <w:t xml:space="preserve">These and many other </w:t>
      </w:r>
      <w:r w:rsidR="008E4280" w:rsidRPr="000F4E08">
        <w:t>statements made</w:t>
      </w:r>
      <w:r w:rsidR="003D02EF" w:rsidRPr="000F4E08">
        <w:t xml:space="preserve"> </w:t>
      </w:r>
      <w:r w:rsidR="00E7385C" w:rsidRPr="000F4E08">
        <w:t xml:space="preserve">indicate that the more each of us consider the </w:t>
      </w:r>
      <w:r w:rsidR="007002A7" w:rsidRPr="000F4E08">
        <w:t xml:space="preserve">services and opportunities offered to students by others, the </w:t>
      </w:r>
      <w:r w:rsidR="00B73CC3" w:rsidRPr="000F4E08">
        <w:t xml:space="preserve">more we can be open to </w:t>
      </w:r>
      <w:r w:rsidR="00451C80" w:rsidRPr="000F4E08">
        <w:t>exploring ways to optimize our collective energies.</w:t>
      </w:r>
    </w:p>
    <w:p w14:paraId="4154C5FE" w14:textId="6C3C7065" w:rsidR="00DD47F8" w:rsidRPr="000F4E08" w:rsidRDefault="00DD47F8" w:rsidP="00743776">
      <w:pPr>
        <w:spacing w:after="0"/>
      </w:pPr>
    </w:p>
    <w:p w14:paraId="65B0CBB3" w14:textId="6C9DDC38" w:rsidR="00DD47F8" w:rsidRPr="000F4E08" w:rsidRDefault="00DD47F8" w:rsidP="00743776">
      <w:pPr>
        <w:spacing w:after="0"/>
        <w:rPr>
          <w:b/>
          <w:bCs/>
        </w:rPr>
      </w:pPr>
      <w:r w:rsidRPr="000F4E08">
        <w:rPr>
          <w:b/>
          <w:bCs/>
        </w:rPr>
        <w:t>Collaboration:</w:t>
      </w:r>
    </w:p>
    <w:p w14:paraId="7F163E43" w14:textId="135F7C2A" w:rsidR="00DD47F8" w:rsidRPr="000F4E08" w:rsidRDefault="00DD47F8" w:rsidP="00743776">
      <w:pPr>
        <w:spacing w:after="0"/>
      </w:pPr>
    </w:p>
    <w:p w14:paraId="4FED48F8" w14:textId="50FFEE81" w:rsidR="00B30978" w:rsidRPr="000F4E08" w:rsidRDefault="00DD47F8" w:rsidP="00743776">
      <w:pPr>
        <w:spacing w:after="0"/>
      </w:pPr>
      <w:r w:rsidRPr="000F4E08">
        <w:t xml:space="preserve">Once </w:t>
      </w:r>
      <w:r w:rsidR="00AD78CB" w:rsidRPr="000F4E08">
        <w:t xml:space="preserve">people and organizations consider the resources and talents others bring to this process, </w:t>
      </w:r>
      <w:r w:rsidR="00034EE0" w:rsidRPr="000F4E08">
        <w:t xml:space="preserve">efforts can be made to find ways to collaborate.  Collaboration – </w:t>
      </w:r>
      <w:r w:rsidR="00802AB2" w:rsidRPr="000F4E08">
        <w:t>in contrast</w:t>
      </w:r>
      <w:r w:rsidR="00034EE0" w:rsidRPr="000F4E08">
        <w:t xml:space="preserve"> to duplication – can lead to </w:t>
      </w:r>
      <w:r w:rsidR="00AD5EB7" w:rsidRPr="000F4E08">
        <w:t xml:space="preserve">operational and </w:t>
      </w:r>
      <w:r w:rsidR="00364F43" w:rsidRPr="000F4E08">
        <w:t xml:space="preserve">financial </w:t>
      </w:r>
      <w:r w:rsidR="00CD4E89" w:rsidRPr="000F4E08">
        <w:t>efficiencies</w:t>
      </w:r>
      <w:r w:rsidR="002B3533" w:rsidRPr="000F4E08">
        <w:t>.</w:t>
      </w:r>
      <w:r w:rsidR="000A07EE" w:rsidRPr="000F4E08">
        <w:t xml:space="preserve">  In times of </w:t>
      </w:r>
      <w:r w:rsidR="002A4013" w:rsidRPr="000F4E08">
        <w:t xml:space="preserve">constraint, collaboration is key to optimizing </w:t>
      </w:r>
      <w:r w:rsidR="00BB24A6" w:rsidRPr="000F4E08">
        <w:t>available resources</w:t>
      </w:r>
      <w:r w:rsidR="002D627D" w:rsidRPr="000F4E08">
        <w:t xml:space="preserve">.  This often </w:t>
      </w:r>
      <w:r w:rsidR="00BB24A6" w:rsidRPr="000F4E08">
        <w:t>include</w:t>
      </w:r>
      <w:r w:rsidR="002D627D" w:rsidRPr="000F4E08">
        <w:t>s</w:t>
      </w:r>
      <w:r w:rsidR="00BB24A6" w:rsidRPr="000F4E08">
        <w:t xml:space="preserve"> </w:t>
      </w:r>
      <w:r w:rsidR="00BB4753" w:rsidRPr="000F4E08">
        <w:t>the time professionals and their students can commit to a particular task.</w:t>
      </w:r>
      <w:r w:rsidR="00EE6D9A" w:rsidRPr="000F4E08">
        <w:t xml:space="preserve">  Collaboration </w:t>
      </w:r>
      <w:r w:rsidR="00B1432C" w:rsidRPr="000F4E08">
        <w:t xml:space="preserve">also can </w:t>
      </w:r>
      <w:r w:rsidR="00B553CF" w:rsidRPr="000F4E08">
        <w:t xml:space="preserve">encourage </w:t>
      </w:r>
      <w:r w:rsidR="00AF7CCD" w:rsidRPr="000F4E08">
        <w:t xml:space="preserve">and nurture </w:t>
      </w:r>
      <w:r w:rsidR="00B553CF" w:rsidRPr="000F4E08">
        <w:t xml:space="preserve">creativity, helping </w:t>
      </w:r>
      <w:r w:rsidR="006D35B6" w:rsidRPr="000F4E08">
        <w:t>to identify innovative ways to address changes</w:t>
      </w:r>
      <w:r w:rsidR="00E0217B" w:rsidRPr="000F4E08">
        <w:t xml:space="preserve"> </w:t>
      </w:r>
      <w:r w:rsidR="001B02DA" w:rsidRPr="000F4E08">
        <w:t>in organizational culture and operation</w:t>
      </w:r>
      <w:r w:rsidR="00B836BB" w:rsidRPr="000F4E08">
        <w:t xml:space="preserve">s, for the </w:t>
      </w:r>
      <w:r w:rsidR="00E0217B" w:rsidRPr="000F4E08">
        <w:t>near term and in</w:t>
      </w:r>
      <w:r w:rsidR="00B836BB" w:rsidRPr="000F4E08">
        <w:t>to</w:t>
      </w:r>
      <w:r w:rsidR="00E0217B" w:rsidRPr="000F4E08">
        <w:t xml:space="preserve"> the future</w:t>
      </w:r>
      <w:r w:rsidR="00D8529A" w:rsidRPr="000F4E08">
        <w:t>.</w:t>
      </w:r>
    </w:p>
    <w:p w14:paraId="0FD046AC" w14:textId="77777777" w:rsidR="00B30978" w:rsidRPr="000F4E08" w:rsidRDefault="00B30978" w:rsidP="00743776">
      <w:pPr>
        <w:spacing w:after="0"/>
      </w:pPr>
    </w:p>
    <w:p w14:paraId="0CD31FCE" w14:textId="77777777" w:rsidR="00B30978" w:rsidRPr="000F4E08" w:rsidRDefault="00B30978" w:rsidP="00743776">
      <w:pPr>
        <w:spacing w:after="0"/>
        <w:rPr>
          <w:b/>
          <w:bCs/>
        </w:rPr>
      </w:pPr>
      <w:r w:rsidRPr="000F4E08">
        <w:rPr>
          <w:b/>
          <w:bCs/>
        </w:rPr>
        <w:t>Communication:</w:t>
      </w:r>
    </w:p>
    <w:p w14:paraId="512B196B" w14:textId="1A77D8E9" w:rsidR="00DD47F8" w:rsidRPr="000F4E08" w:rsidRDefault="00E0217B" w:rsidP="00743776">
      <w:pPr>
        <w:spacing w:after="0"/>
      </w:pPr>
      <w:r w:rsidRPr="000F4E08">
        <w:t xml:space="preserve"> </w:t>
      </w:r>
    </w:p>
    <w:p w14:paraId="02C92988" w14:textId="30A1B9B8" w:rsidR="00B30978" w:rsidRPr="000F4E08" w:rsidRDefault="002541F4" w:rsidP="00743776">
      <w:pPr>
        <w:spacing w:after="0"/>
      </w:pPr>
      <w:r w:rsidRPr="000F4E08">
        <w:t>Often during the VC sessions, participants</w:t>
      </w:r>
      <w:r w:rsidR="00EE0F96" w:rsidRPr="000F4E08">
        <w:t xml:space="preserve"> </w:t>
      </w:r>
      <w:r w:rsidR="007F324E" w:rsidRPr="000F4E08">
        <w:t>made statements</w:t>
      </w:r>
      <w:r w:rsidR="00EE0F96" w:rsidRPr="000F4E08">
        <w:t xml:space="preserve"> such as “good to know” or </w:t>
      </w:r>
      <w:r w:rsidR="00AF3376" w:rsidRPr="000F4E08">
        <w:t>“helpful information” or “I didn’t know that.”</w:t>
      </w:r>
      <w:r w:rsidR="000D75E0" w:rsidRPr="000F4E08">
        <w:t xml:space="preserve">  Whether is was</w:t>
      </w:r>
      <w:r w:rsidR="00A83B65" w:rsidRPr="000F4E08">
        <w:t xml:space="preserve"> high school counselors wanting </w:t>
      </w:r>
      <w:r w:rsidR="00893E39" w:rsidRPr="000F4E08">
        <w:t xml:space="preserve">to learn about the transfer admissions process at four-year schools or </w:t>
      </w:r>
      <w:r w:rsidR="004E2FB7" w:rsidRPr="000F4E08">
        <w:t xml:space="preserve">CBOs </w:t>
      </w:r>
      <w:r w:rsidR="006956D0" w:rsidRPr="000F4E08">
        <w:t xml:space="preserve">sharing information about college programs </w:t>
      </w:r>
      <w:r w:rsidR="00197F0E" w:rsidRPr="000F4E08">
        <w:t xml:space="preserve">they are offering </w:t>
      </w:r>
      <w:r w:rsidR="00D432BD" w:rsidRPr="000F4E08">
        <w:t xml:space="preserve">to members of the surrounding </w:t>
      </w:r>
      <w:r w:rsidR="00E41E15" w:rsidRPr="000F4E08">
        <w:t xml:space="preserve">community, </w:t>
      </w:r>
      <w:r w:rsidR="00B627DB" w:rsidRPr="000F4E08">
        <w:t xml:space="preserve">it appears that all </w:t>
      </w:r>
      <w:r w:rsidR="007B13BF" w:rsidRPr="000F4E08">
        <w:t xml:space="preserve">students, families, and organizations would benefit from more communications.  </w:t>
      </w:r>
      <w:proofErr w:type="gramStart"/>
      <w:r w:rsidR="007B13BF" w:rsidRPr="000F4E08">
        <w:t>And,</w:t>
      </w:r>
      <w:proofErr w:type="gramEnd"/>
      <w:r w:rsidR="007B13BF" w:rsidRPr="000F4E08">
        <w:t xml:space="preserve"> </w:t>
      </w:r>
      <w:r w:rsidR="00437A8C" w:rsidRPr="000F4E08">
        <w:t xml:space="preserve">wider </w:t>
      </w:r>
      <w:r w:rsidR="002830DF" w:rsidRPr="000F4E08">
        <w:t xml:space="preserve">and more consistent </w:t>
      </w:r>
      <w:r w:rsidR="00437A8C" w:rsidRPr="000F4E08">
        <w:t xml:space="preserve">communications could lead to </w:t>
      </w:r>
      <w:r w:rsidR="00D26F9E" w:rsidRPr="000F4E08">
        <w:t>more con</w:t>
      </w:r>
      <w:r w:rsidR="002830DF" w:rsidRPr="000F4E08">
        <w:t xml:space="preserve">siderations and </w:t>
      </w:r>
      <w:r w:rsidR="00D26F9E" w:rsidRPr="000F4E08">
        <w:t>collaboration.</w:t>
      </w:r>
    </w:p>
    <w:p w14:paraId="7A66B3F3" w14:textId="77777777" w:rsidR="004B6A05" w:rsidRPr="000F4E08" w:rsidRDefault="004B6A05" w:rsidP="00743776">
      <w:pPr>
        <w:spacing w:after="0"/>
      </w:pPr>
    </w:p>
    <w:p w14:paraId="48F4CBBF" w14:textId="77777777" w:rsidR="004B6A05" w:rsidRPr="000F4E08" w:rsidRDefault="004B6A05" w:rsidP="00743776">
      <w:pPr>
        <w:spacing w:after="0"/>
      </w:pPr>
    </w:p>
    <w:p w14:paraId="71BF2DE3" w14:textId="1559FF30" w:rsidR="00226A50" w:rsidRPr="000F4E08" w:rsidRDefault="004B6A05" w:rsidP="00743776">
      <w:pPr>
        <w:spacing w:after="0"/>
      </w:pPr>
      <w:r w:rsidRPr="000F4E08">
        <w:rPr>
          <w:u w:val="single"/>
        </w:rPr>
        <w:t>T</w:t>
      </w:r>
      <w:r w:rsidR="004B74E6" w:rsidRPr="000F4E08">
        <w:rPr>
          <w:u w:val="single"/>
        </w:rPr>
        <w:t>he report</w:t>
      </w:r>
      <w:r w:rsidR="004B74E6" w:rsidRPr="000F4E08">
        <w:t xml:space="preserve"> </w:t>
      </w:r>
      <w:r w:rsidR="00EF0EEE" w:rsidRPr="000F4E08">
        <w:t xml:space="preserve">is presented in </w:t>
      </w:r>
      <w:r w:rsidR="004B74E6" w:rsidRPr="000F4E08">
        <w:t xml:space="preserve">sections which </w:t>
      </w:r>
      <w:r w:rsidR="0070253B" w:rsidRPr="000F4E08">
        <w:t xml:space="preserve">are summarized below and </w:t>
      </w:r>
      <w:r w:rsidR="004B74E6" w:rsidRPr="000F4E08">
        <w:t xml:space="preserve">can be </w:t>
      </w:r>
      <w:r w:rsidR="002A5E28" w:rsidRPr="000F4E08">
        <w:t>quickly accessed by the</w:t>
      </w:r>
      <w:r w:rsidR="000B2061" w:rsidRPr="000F4E08">
        <w:t xml:space="preserve"> </w:t>
      </w:r>
      <w:r w:rsidR="002A5E28" w:rsidRPr="000F4E08">
        <w:t>links</w:t>
      </w:r>
      <w:r w:rsidR="000B2061" w:rsidRPr="000F4E08">
        <w:t xml:space="preserve"> provided</w:t>
      </w:r>
      <w:r w:rsidR="002A5E28" w:rsidRPr="000F4E08">
        <w:t>.</w:t>
      </w:r>
      <w:r w:rsidR="00697429" w:rsidRPr="000F4E08">
        <w:t xml:space="preserve"> </w:t>
      </w:r>
    </w:p>
    <w:p w14:paraId="30761899" w14:textId="3D9A6D83" w:rsidR="00F402E6" w:rsidRPr="000F4E08" w:rsidRDefault="00F402E6" w:rsidP="00743776">
      <w:pPr>
        <w:spacing w:after="0"/>
      </w:pPr>
    </w:p>
    <w:p w14:paraId="686822D0" w14:textId="05ADC4A2" w:rsidR="00F402E6" w:rsidRPr="000F4E08" w:rsidRDefault="00F402E6" w:rsidP="00743776">
      <w:pPr>
        <w:spacing w:after="0"/>
        <w:rPr>
          <w:b/>
          <w:bCs/>
          <w:u w:val="single"/>
        </w:rPr>
      </w:pPr>
      <w:r w:rsidRPr="000F4E08">
        <w:rPr>
          <w:b/>
          <w:bCs/>
          <w:u w:val="single"/>
        </w:rPr>
        <w:t>Introduction</w:t>
      </w:r>
    </w:p>
    <w:p w14:paraId="765D2422" w14:textId="2398F963" w:rsidR="005677A3" w:rsidRPr="000F4E08" w:rsidRDefault="005677A3" w:rsidP="00743776">
      <w:pPr>
        <w:spacing w:after="0"/>
      </w:pPr>
    </w:p>
    <w:p w14:paraId="3EA4002A" w14:textId="476B6FF0" w:rsidR="00E76BA7" w:rsidRPr="000F4E08" w:rsidRDefault="00E76BA7" w:rsidP="00743776">
      <w:pPr>
        <w:spacing w:after="0"/>
      </w:pPr>
      <w:r w:rsidRPr="000F4E08">
        <w:t xml:space="preserve">NYSACAC’s primary role in this multi-organizational, statewide initiative to </w:t>
      </w:r>
      <w:r w:rsidR="00AE17FF" w:rsidRPr="000F4E08">
        <w:t xml:space="preserve">establish targets for postsecondary attainment and success </w:t>
      </w:r>
      <w:r w:rsidR="00452ED9" w:rsidRPr="000F4E08">
        <w:t>is to look closely at the transfer policies and practices that are succeeding and those that are not.</w:t>
      </w:r>
      <w:r w:rsidR="008F0310" w:rsidRPr="000F4E08">
        <w:t xml:space="preserve">  Through the Association’s own </w:t>
      </w:r>
      <w:r w:rsidR="00362EEA" w:rsidRPr="000F4E08">
        <w:t xml:space="preserve">project work and its involvement with other Gates collaborators, </w:t>
      </w:r>
      <w:r w:rsidR="00657AD8" w:rsidRPr="000F4E08">
        <w:t xml:space="preserve">there are clear signed that </w:t>
      </w:r>
      <w:r w:rsidR="00052DF4" w:rsidRPr="000F4E08">
        <w:t>greater coo</w:t>
      </w:r>
      <w:r w:rsidR="00137014" w:rsidRPr="000F4E08">
        <w:t>rdination of effort and communication between and among the various stakeholders</w:t>
      </w:r>
      <w:r w:rsidR="00CC388F" w:rsidRPr="000F4E08">
        <w:t xml:space="preserve"> can yield positive results</w:t>
      </w:r>
      <w:r w:rsidR="00091F8A" w:rsidRPr="000F4E08">
        <w:t>.</w:t>
      </w:r>
    </w:p>
    <w:p w14:paraId="7FB22153" w14:textId="77777777" w:rsidR="00091F8A" w:rsidRPr="000F4E08" w:rsidRDefault="00091F8A" w:rsidP="00743776">
      <w:pPr>
        <w:spacing w:after="0"/>
      </w:pPr>
    </w:p>
    <w:p w14:paraId="11B5945A" w14:textId="6FB576DE" w:rsidR="00F402E6" w:rsidRPr="000F4E08" w:rsidRDefault="00656E56" w:rsidP="00743776">
      <w:pPr>
        <w:spacing w:after="0"/>
        <w:rPr>
          <w:b/>
          <w:bCs/>
          <w:u w:val="single"/>
        </w:rPr>
      </w:pPr>
      <w:r w:rsidRPr="000F4E08">
        <w:rPr>
          <w:b/>
          <w:bCs/>
          <w:u w:val="single"/>
        </w:rPr>
        <w:t>The Process</w:t>
      </w:r>
    </w:p>
    <w:p w14:paraId="1F9E1D75" w14:textId="0FDCE042" w:rsidR="00091F8A" w:rsidRPr="000F4E08" w:rsidRDefault="00091F8A" w:rsidP="00743776">
      <w:pPr>
        <w:spacing w:after="0"/>
      </w:pPr>
    </w:p>
    <w:p w14:paraId="2793F3C8" w14:textId="029D7EAB" w:rsidR="00091F8A" w:rsidRPr="000F4E08" w:rsidRDefault="00633C67" w:rsidP="00743776">
      <w:pPr>
        <w:spacing w:after="0"/>
      </w:pPr>
      <w:r w:rsidRPr="000F4E08">
        <w:t>Because of the pandemic</w:t>
      </w:r>
      <w:r w:rsidR="00D06757" w:rsidRPr="000F4E08">
        <w:t>,</w:t>
      </w:r>
      <w:r w:rsidRPr="000F4E08">
        <w:t xml:space="preserve"> information gathering </w:t>
      </w:r>
      <w:r w:rsidR="00D06757" w:rsidRPr="000F4E08">
        <w:t>became a virtual effort</w:t>
      </w:r>
      <w:r w:rsidR="00CA4B71" w:rsidRPr="000F4E08">
        <w:t xml:space="preserve"> which </w:t>
      </w:r>
      <w:r w:rsidR="006E5A53" w:rsidRPr="000F4E08">
        <w:t xml:space="preserve">might have </w:t>
      </w:r>
      <w:proofErr w:type="gramStart"/>
      <w:r w:rsidR="006E5A53" w:rsidRPr="000F4E08">
        <w:t xml:space="preserve">been </w:t>
      </w:r>
      <w:r w:rsidR="00CA4B71" w:rsidRPr="000F4E08">
        <w:t xml:space="preserve"> a</w:t>
      </w:r>
      <w:proofErr w:type="gramEnd"/>
      <w:r w:rsidR="00CA4B71" w:rsidRPr="000F4E08">
        <w:t xml:space="preserve"> “silver lining” </w:t>
      </w:r>
      <w:r w:rsidR="006839FF" w:rsidRPr="000F4E08">
        <w:t>among these dark clouds.  Two hundred ninety-eight people</w:t>
      </w:r>
      <w:r w:rsidR="00C240F2" w:rsidRPr="000F4E08">
        <w:t xml:space="preserve"> participated, most likely more than would have been engaged </w:t>
      </w:r>
      <w:r w:rsidR="009E4E1E" w:rsidRPr="000F4E08">
        <w:t xml:space="preserve">with the original travel plan.  Along with NYSACAC members, </w:t>
      </w:r>
      <w:r w:rsidR="00F7307C" w:rsidRPr="000F4E08">
        <w:t>participants included members of NYSSCA and NYSTAA.</w:t>
      </w:r>
      <w:r w:rsidR="006839FF" w:rsidRPr="000F4E08">
        <w:t xml:space="preserve"> </w:t>
      </w:r>
    </w:p>
    <w:p w14:paraId="53C69A49" w14:textId="23F99731" w:rsidR="00656E56" w:rsidRPr="000F4E08" w:rsidRDefault="00656E56" w:rsidP="004F263C">
      <w:pPr>
        <w:spacing w:after="0"/>
        <w:ind w:left="720"/>
      </w:pPr>
      <w:r w:rsidRPr="000F4E08">
        <w:rPr>
          <w:b/>
          <w:bCs/>
        </w:rPr>
        <w:t>Topics</w:t>
      </w:r>
      <w:r w:rsidR="002477E2" w:rsidRPr="000F4E08">
        <w:t xml:space="preserve"> </w:t>
      </w:r>
      <w:r w:rsidR="005344CE" w:rsidRPr="000F4E08">
        <w:t>–</w:t>
      </w:r>
      <w:r w:rsidR="002477E2" w:rsidRPr="000F4E08">
        <w:t xml:space="preserve"> </w:t>
      </w:r>
      <w:r w:rsidR="005344CE" w:rsidRPr="000F4E08">
        <w:t xml:space="preserve">After an initial session </w:t>
      </w:r>
      <w:r w:rsidR="006E5A53" w:rsidRPr="000F4E08">
        <w:t>describing</w:t>
      </w:r>
      <w:r w:rsidR="005344CE" w:rsidRPr="000F4E08">
        <w:t xml:space="preserve"> the Student Success project and a session devoted to the </w:t>
      </w:r>
      <w:r w:rsidR="004F263C" w:rsidRPr="000F4E08">
        <w:t>disruption being felt due to COVID-19 (see s</w:t>
      </w:r>
      <w:r w:rsidR="00C22BA7" w:rsidRPr="000F4E08">
        <w:t>eparate section of report), the following topics were discussed over a six-week period:</w:t>
      </w:r>
    </w:p>
    <w:p w14:paraId="6E8B21D4" w14:textId="2FF450A6" w:rsidR="00225D05" w:rsidRPr="000F4E08" w:rsidRDefault="00225D05" w:rsidP="00225D05">
      <w:pPr>
        <w:numPr>
          <w:ilvl w:val="0"/>
          <w:numId w:val="2"/>
        </w:numPr>
        <w:pBdr>
          <w:top w:val="nil"/>
          <w:left w:val="nil"/>
          <w:bottom w:val="nil"/>
          <w:right w:val="nil"/>
          <w:between w:val="nil"/>
        </w:pBdr>
        <w:spacing w:after="0"/>
      </w:pPr>
      <w:r w:rsidRPr="000F4E08">
        <w:lastRenderedPageBreak/>
        <w:t>Transfer Admission Policies and Practices</w:t>
      </w:r>
    </w:p>
    <w:p w14:paraId="6A9DB421" w14:textId="77777777" w:rsidR="00225D05" w:rsidRPr="000F4E08" w:rsidRDefault="00225D05" w:rsidP="00225D05">
      <w:pPr>
        <w:numPr>
          <w:ilvl w:val="0"/>
          <w:numId w:val="2"/>
        </w:numPr>
        <w:pBdr>
          <w:top w:val="nil"/>
          <w:left w:val="nil"/>
          <w:bottom w:val="nil"/>
          <w:right w:val="nil"/>
          <w:between w:val="nil"/>
        </w:pBdr>
        <w:spacing w:after="0"/>
      </w:pPr>
      <w:r w:rsidRPr="000F4E08">
        <w:t>Academic Credit Transfer Policies and Practices</w:t>
      </w:r>
    </w:p>
    <w:p w14:paraId="3F144867" w14:textId="77777777" w:rsidR="00225D05" w:rsidRPr="000F4E08" w:rsidRDefault="00225D05" w:rsidP="00225D05">
      <w:pPr>
        <w:numPr>
          <w:ilvl w:val="0"/>
          <w:numId w:val="2"/>
        </w:numPr>
        <w:pBdr>
          <w:top w:val="nil"/>
          <w:left w:val="nil"/>
          <w:bottom w:val="nil"/>
          <w:right w:val="nil"/>
          <w:between w:val="nil"/>
        </w:pBdr>
        <w:spacing w:after="0"/>
      </w:pPr>
      <w:r w:rsidRPr="000F4E08">
        <w:t>Financial Literacy</w:t>
      </w:r>
    </w:p>
    <w:p w14:paraId="082A7F46" w14:textId="77777777" w:rsidR="00225D05" w:rsidRPr="000F4E08" w:rsidRDefault="00225D05" w:rsidP="00225D05">
      <w:pPr>
        <w:numPr>
          <w:ilvl w:val="0"/>
          <w:numId w:val="2"/>
        </w:numPr>
        <w:pBdr>
          <w:top w:val="nil"/>
          <w:left w:val="nil"/>
          <w:bottom w:val="nil"/>
          <w:right w:val="nil"/>
          <w:between w:val="nil"/>
        </w:pBdr>
        <w:spacing w:after="0"/>
      </w:pPr>
      <w:r w:rsidRPr="000F4E08">
        <w:t>Transfer Student Onboarding/Orientation</w:t>
      </w:r>
    </w:p>
    <w:p w14:paraId="61614A76" w14:textId="77777777" w:rsidR="00225D05" w:rsidRPr="000F4E08" w:rsidRDefault="00225D05" w:rsidP="00225D05">
      <w:pPr>
        <w:numPr>
          <w:ilvl w:val="0"/>
          <w:numId w:val="2"/>
        </w:numPr>
        <w:pBdr>
          <w:top w:val="nil"/>
          <w:left w:val="nil"/>
          <w:bottom w:val="nil"/>
          <w:right w:val="nil"/>
          <w:between w:val="nil"/>
        </w:pBdr>
        <w:spacing w:after="0"/>
      </w:pPr>
      <w:r w:rsidRPr="000F4E08">
        <w:t>2+2 Transfer Programs</w:t>
      </w:r>
    </w:p>
    <w:p w14:paraId="6C728D3F" w14:textId="77777777" w:rsidR="00225D05" w:rsidRPr="000F4E08" w:rsidRDefault="00225D05" w:rsidP="00225D05">
      <w:pPr>
        <w:numPr>
          <w:ilvl w:val="0"/>
          <w:numId w:val="2"/>
        </w:numPr>
        <w:pBdr>
          <w:top w:val="nil"/>
          <w:left w:val="nil"/>
          <w:bottom w:val="nil"/>
          <w:right w:val="nil"/>
          <w:between w:val="nil"/>
        </w:pBdr>
        <w:spacing w:after="0"/>
      </w:pPr>
      <w:r w:rsidRPr="000F4E08">
        <w:t>Non-Traditional Transfer Students</w:t>
      </w:r>
    </w:p>
    <w:p w14:paraId="3DE3ECA3" w14:textId="01A197D0" w:rsidR="00225D05" w:rsidRPr="000F4E08" w:rsidRDefault="00225D05" w:rsidP="00743776">
      <w:pPr>
        <w:spacing w:after="0"/>
      </w:pPr>
    </w:p>
    <w:p w14:paraId="7BB23669" w14:textId="00D1FA71" w:rsidR="002E0C8E" w:rsidRPr="000F4E08" w:rsidRDefault="00656E56" w:rsidP="002E0C8E">
      <w:pPr>
        <w:spacing w:after="0"/>
        <w:ind w:left="720"/>
      </w:pPr>
      <w:r w:rsidRPr="000F4E08">
        <w:rPr>
          <w:b/>
          <w:bCs/>
        </w:rPr>
        <w:t>Participants</w:t>
      </w:r>
      <w:r w:rsidR="002E0C8E" w:rsidRPr="000F4E08">
        <w:t xml:space="preserve"> – Two hundred ninety-eight (298) individuals participated in at least one session.  The affiliation of these professionals:</w:t>
      </w:r>
    </w:p>
    <w:p w14:paraId="7EDE558C" w14:textId="77777777" w:rsidR="002E0C8E" w:rsidRPr="000F4E08" w:rsidRDefault="002E0C8E" w:rsidP="002E0C8E">
      <w:pPr>
        <w:numPr>
          <w:ilvl w:val="0"/>
          <w:numId w:val="3"/>
        </w:numPr>
        <w:pBdr>
          <w:top w:val="nil"/>
          <w:left w:val="nil"/>
          <w:bottom w:val="nil"/>
          <w:right w:val="nil"/>
          <w:between w:val="nil"/>
        </w:pBdr>
        <w:spacing w:after="0"/>
      </w:pPr>
      <w:r w:rsidRPr="000F4E08">
        <w:t xml:space="preserve">  19 CBO Leaders</w:t>
      </w:r>
    </w:p>
    <w:p w14:paraId="3284E25B" w14:textId="77777777" w:rsidR="002E0C8E" w:rsidRPr="000F4E08" w:rsidRDefault="002E0C8E" w:rsidP="002E0C8E">
      <w:pPr>
        <w:numPr>
          <w:ilvl w:val="0"/>
          <w:numId w:val="3"/>
        </w:numPr>
        <w:pBdr>
          <w:top w:val="nil"/>
          <w:left w:val="nil"/>
          <w:bottom w:val="nil"/>
          <w:right w:val="nil"/>
          <w:between w:val="nil"/>
        </w:pBdr>
        <w:spacing w:after="0"/>
      </w:pPr>
      <w:r w:rsidRPr="000F4E08">
        <w:t>107 Secondary School Counselors</w:t>
      </w:r>
    </w:p>
    <w:p w14:paraId="2EEC98B2" w14:textId="77777777" w:rsidR="002E0C8E" w:rsidRPr="000F4E08" w:rsidRDefault="002E0C8E" w:rsidP="002E0C8E">
      <w:pPr>
        <w:numPr>
          <w:ilvl w:val="0"/>
          <w:numId w:val="3"/>
        </w:numPr>
        <w:pBdr>
          <w:top w:val="nil"/>
          <w:left w:val="nil"/>
          <w:bottom w:val="nil"/>
          <w:right w:val="nil"/>
          <w:between w:val="nil"/>
        </w:pBdr>
        <w:spacing w:after="0"/>
      </w:pPr>
      <w:r w:rsidRPr="000F4E08">
        <w:t xml:space="preserve">  27 Community College Staff</w:t>
      </w:r>
    </w:p>
    <w:p w14:paraId="45AAC41F" w14:textId="77777777" w:rsidR="002E0C8E" w:rsidRPr="000F4E08" w:rsidRDefault="002E0C8E" w:rsidP="002E0C8E">
      <w:pPr>
        <w:numPr>
          <w:ilvl w:val="0"/>
          <w:numId w:val="3"/>
        </w:numPr>
        <w:pBdr>
          <w:top w:val="nil"/>
          <w:left w:val="nil"/>
          <w:bottom w:val="nil"/>
          <w:right w:val="nil"/>
          <w:between w:val="nil"/>
        </w:pBdr>
        <w:spacing w:after="0"/>
      </w:pPr>
      <w:r w:rsidRPr="000F4E08">
        <w:t>124 Four-Year College Staff</w:t>
      </w:r>
    </w:p>
    <w:p w14:paraId="4332C2D6" w14:textId="77777777" w:rsidR="002E0C8E" w:rsidRPr="000F4E08" w:rsidRDefault="002E0C8E" w:rsidP="002E0C8E">
      <w:pPr>
        <w:numPr>
          <w:ilvl w:val="0"/>
          <w:numId w:val="3"/>
        </w:numPr>
        <w:pBdr>
          <w:top w:val="nil"/>
          <w:left w:val="nil"/>
          <w:bottom w:val="nil"/>
          <w:right w:val="nil"/>
          <w:between w:val="nil"/>
        </w:pBdr>
        <w:spacing w:after="0"/>
      </w:pPr>
      <w:r w:rsidRPr="000F4E08">
        <w:t xml:space="preserve"> 13 Independent Counselors</w:t>
      </w:r>
    </w:p>
    <w:p w14:paraId="0D6962F6" w14:textId="77777777" w:rsidR="002E0C8E" w:rsidRPr="000F4E08" w:rsidRDefault="002E0C8E" w:rsidP="002E0C8E">
      <w:pPr>
        <w:numPr>
          <w:ilvl w:val="0"/>
          <w:numId w:val="3"/>
        </w:numPr>
        <w:pBdr>
          <w:top w:val="nil"/>
          <w:left w:val="nil"/>
          <w:bottom w:val="nil"/>
          <w:right w:val="nil"/>
          <w:between w:val="nil"/>
        </w:pBdr>
        <w:spacing w:after="0"/>
      </w:pPr>
      <w:r w:rsidRPr="000F4E08">
        <w:t xml:space="preserve">   5 NY State System Staff</w:t>
      </w:r>
    </w:p>
    <w:p w14:paraId="6A2C89B6" w14:textId="1F4CE512" w:rsidR="002E0C8E" w:rsidRPr="000F4E08" w:rsidRDefault="002E0C8E" w:rsidP="00743776">
      <w:pPr>
        <w:numPr>
          <w:ilvl w:val="0"/>
          <w:numId w:val="3"/>
        </w:numPr>
        <w:pBdr>
          <w:top w:val="nil"/>
          <w:left w:val="nil"/>
          <w:bottom w:val="nil"/>
          <w:right w:val="nil"/>
          <w:between w:val="nil"/>
        </w:pBdr>
        <w:spacing w:after="0"/>
      </w:pPr>
      <w:r w:rsidRPr="000F4E08">
        <w:t xml:space="preserve">   3 Graduate Students</w:t>
      </w:r>
    </w:p>
    <w:p w14:paraId="7B6E0522" w14:textId="77777777" w:rsidR="00AB0EB4" w:rsidRPr="000F4E08" w:rsidRDefault="00AB0EB4" w:rsidP="00743776">
      <w:pPr>
        <w:spacing w:after="0"/>
      </w:pPr>
    </w:p>
    <w:p w14:paraId="170D6CDB" w14:textId="5EA5A6EC" w:rsidR="00656E56" w:rsidRPr="000F4E08" w:rsidRDefault="00D61532" w:rsidP="00743776">
      <w:pPr>
        <w:spacing w:after="0"/>
        <w:rPr>
          <w:b/>
          <w:bCs/>
          <w:u w:val="single"/>
        </w:rPr>
      </w:pPr>
      <w:r w:rsidRPr="000F4E08">
        <w:rPr>
          <w:b/>
          <w:bCs/>
          <w:u w:val="single"/>
        </w:rPr>
        <w:t>Framing the Issues: Common Transfer Questions</w:t>
      </w:r>
    </w:p>
    <w:p w14:paraId="14018D5E" w14:textId="77777777" w:rsidR="00305DCC" w:rsidRPr="000F4E08" w:rsidRDefault="00305DCC" w:rsidP="00743776">
      <w:pPr>
        <w:spacing w:after="0"/>
        <w:rPr>
          <w:b/>
          <w:bCs/>
          <w:u w:val="single"/>
        </w:rPr>
      </w:pPr>
    </w:p>
    <w:p w14:paraId="195B0ADD" w14:textId="5780D1DD" w:rsidR="00080113" w:rsidRPr="000F4E08" w:rsidRDefault="00080113" w:rsidP="00F83A81">
      <w:pPr>
        <w:spacing w:after="0"/>
        <w:ind w:left="720"/>
      </w:pPr>
      <w:r w:rsidRPr="000F4E08">
        <w:t>While e</w:t>
      </w:r>
      <w:r w:rsidR="003766A8" w:rsidRPr="000F4E08">
        <w:t>ach</w:t>
      </w:r>
      <w:r w:rsidRPr="000F4E08">
        <w:t xml:space="preserve"> transfer student has his/her own unique questions about this process, the following are a common set of transfer issues that emerged from these VC sessions:</w:t>
      </w:r>
    </w:p>
    <w:p w14:paraId="6E370F3B" w14:textId="77777777" w:rsidR="00006A0A" w:rsidRPr="000F4E08" w:rsidRDefault="00006A0A" w:rsidP="00743776">
      <w:pPr>
        <w:spacing w:after="0"/>
        <w:rPr>
          <w:b/>
          <w:bCs/>
          <w:u w:val="single"/>
        </w:rPr>
      </w:pPr>
    </w:p>
    <w:p w14:paraId="6E8B9117" w14:textId="2FA59F59" w:rsidR="000D09B9" w:rsidRPr="000F4E08" w:rsidRDefault="000D09B9" w:rsidP="005245ED">
      <w:pPr>
        <w:pStyle w:val="ListParagraph"/>
        <w:numPr>
          <w:ilvl w:val="1"/>
          <w:numId w:val="5"/>
        </w:numPr>
        <w:pBdr>
          <w:top w:val="nil"/>
          <w:left w:val="nil"/>
          <w:bottom w:val="nil"/>
          <w:right w:val="nil"/>
          <w:between w:val="nil"/>
        </w:pBdr>
        <w:spacing w:after="0"/>
        <w:rPr>
          <w:bCs/>
        </w:rPr>
      </w:pPr>
      <w:r w:rsidRPr="000F4E08">
        <w:rPr>
          <w:bCs/>
        </w:rPr>
        <w:t>Will I gain admission to my target transfer institution?</w:t>
      </w:r>
    </w:p>
    <w:p w14:paraId="476CB3EE" w14:textId="5F932B4E" w:rsidR="00D61532" w:rsidRPr="000F4E08" w:rsidRDefault="00941803" w:rsidP="005245ED">
      <w:pPr>
        <w:pStyle w:val="ListParagraph"/>
        <w:numPr>
          <w:ilvl w:val="1"/>
          <w:numId w:val="5"/>
        </w:numPr>
        <w:spacing w:after="0"/>
        <w:rPr>
          <w:bCs/>
        </w:rPr>
      </w:pPr>
      <w:r w:rsidRPr="000F4E08">
        <w:rPr>
          <w:bCs/>
        </w:rPr>
        <w:t>What academic credits will transfer and how long will it take to complete my degree?</w:t>
      </w:r>
    </w:p>
    <w:p w14:paraId="5E6C2D84" w14:textId="77777777" w:rsidR="00127E83" w:rsidRPr="000F4E08" w:rsidRDefault="00127E83" w:rsidP="005245ED">
      <w:pPr>
        <w:pStyle w:val="ListParagraph"/>
        <w:numPr>
          <w:ilvl w:val="1"/>
          <w:numId w:val="5"/>
        </w:numPr>
        <w:pBdr>
          <w:top w:val="nil"/>
          <w:left w:val="nil"/>
          <w:bottom w:val="nil"/>
          <w:right w:val="nil"/>
          <w:between w:val="nil"/>
        </w:pBdr>
        <w:spacing w:after="0"/>
        <w:rPr>
          <w:bCs/>
        </w:rPr>
      </w:pPr>
      <w:r w:rsidRPr="000F4E08">
        <w:rPr>
          <w:bCs/>
        </w:rPr>
        <w:t>How much will it cost to complete my degree?</w:t>
      </w:r>
    </w:p>
    <w:p w14:paraId="3B75AC9E" w14:textId="1126EA4F" w:rsidR="007F041A" w:rsidRPr="000F4E08" w:rsidRDefault="007F041A" w:rsidP="005245ED">
      <w:pPr>
        <w:pStyle w:val="ListParagraph"/>
        <w:numPr>
          <w:ilvl w:val="1"/>
          <w:numId w:val="5"/>
        </w:numPr>
        <w:pBdr>
          <w:top w:val="nil"/>
          <w:left w:val="nil"/>
          <w:bottom w:val="nil"/>
          <w:right w:val="nil"/>
          <w:between w:val="nil"/>
        </w:pBdr>
        <w:spacing w:after="0"/>
        <w:rPr>
          <w:bCs/>
        </w:rPr>
      </w:pPr>
      <w:r w:rsidRPr="000F4E08">
        <w:rPr>
          <w:bCs/>
        </w:rPr>
        <w:t>Will I fit into my new campus community?</w:t>
      </w:r>
    </w:p>
    <w:p w14:paraId="58086DBE" w14:textId="7E167CD0" w:rsidR="00F83A81" w:rsidRPr="000F4E08" w:rsidRDefault="00F83A81" w:rsidP="00F83A81">
      <w:pPr>
        <w:pBdr>
          <w:top w:val="nil"/>
          <w:left w:val="nil"/>
          <w:bottom w:val="nil"/>
          <w:right w:val="nil"/>
          <w:between w:val="nil"/>
        </w:pBdr>
        <w:spacing w:after="0"/>
        <w:rPr>
          <w:bCs/>
        </w:rPr>
      </w:pPr>
    </w:p>
    <w:p w14:paraId="465F435A" w14:textId="3F1715DA" w:rsidR="00F83A81" w:rsidRPr="000F4E08" w:rsidRDefault="00412BE5" w:rsidP="00FA0BA1">
      <w:pPr>
        <w:pBdr>
          <w:top w:val="nil"/>
          <w:left w:val="nil"/>
          <w:bottom w:val="nil"/>
          <w:right w:val="nil"/>
          <w:between w:val="nil"/>
        </w:pBdr>
        <w:spacing w:after="0"/>
        <w:ind w:left="720"/>
        <w:rPr>
          <w:bCs/>
        </w:rPr>
      </w:pPr>
      <w:r w:rsidRPr="000F4E08">
        <w:rPr>
          <w:bCs/>
        </w:rPr>
        <w:t xml:space="preserve">Seeking to increase student success, the logical </w:t>
      </w:r>
      <w:r w:rsidR="00111BDE" w:rsidRPr="000F4E08">
        <w:rPr>
          <w:bCs/>
        </w:rPr>
        <w:t>place to begin is determining how best to help a transfer student fit into their new campus community.</w:t>
      </w:r>
      <w:r w:rsidR="00A93238" w:rsidRPr="000F4E08">
        <w:rPr>
          <w:bCs/>
        </w:rPr>
        <w:t xml:space="preserve">  Once this is established, the </w:t>
      </w:r>
      <w:r w:rsidR="003F68CE" w:rsidRPr="000F4E08">
        <w:rPr>
          <w:bCs/>
        </w:rPr>
        <w:t>preceding</w:t>
      </w:r>
      <w:r w:rsidR="00F53A3E" w:rsidRPr="000F4E08">
        <w:rPr>
          <w:bCs/>
        </w:rPr>
        <w:t xml:space="preserve"> </w:t>
      </w:r>
      <w:r w:rsidR="00A93238" w:rsidRPr="000F4E08">
        <w:rPr>
          <w:bCs/>
        </w:rPr>
        <w:t xml:space="preserve">questions can be </w:t>
      </w:r>
      <w:r w:rsidR="00822440" w:rsidRPr="000F4E08">
        <w:rPr>
          <w:bCs/>
        </w:rPr>
        <w:t>answered with this framework.</w:t>
      </w:r>
      <w:r w:rsidR="00A00552" w:rsidRPr="000F4E08">
        <w:rPr>
          <w:bCs/>
        </w:rPr>
        <w:t xml:space="preserve">  Discussion during these meetings </w:t>
      </w:r>
      <w:r w:rsidR="002161D4" w:rsidRPr="000F4E08">
        <w:rPr>
          <w:bCs/>
        </w:rPr>
        <w:t xml:space="preserve">highlighted the efficacy of </w:t>
      </w:r>
      <w:r w:rsidR="006262BF" w:rsidRPr="000F4E08">
        <w:rPr>
          <w:bCs/>
        </w:rPr>
        <w:t xml:space="preserve">identifying prospective community college transfers </w:t>
      </w:r>
      <w:r w:rsidR="00AE619A" w:rsidRPr="000F4E08">
        <w:rPr>
          <w:bCs/>
        </w:rPr>
        <w:t xml:space="preserve">near the beginning of their CC experience, </w:t>
      </w:r>
      <w:r w:rsidR="00EE24D7" w:rsidRPr="000F4E08">
        <w:rPr>
          <w:bCs/>
        </w:rPr>
        <w:t xml:space="preserve">staying involved with these students during these CC years, and making </w:t>
      </w:r>
      <w:r w:rsidR="005E10E8" w:rsidRPr="000F4E08">
        <w:rPr>
          <w:bCs/>
        </w:rPr>
        <w:t xml:space="preserve">early commitments to them to ease their transition and </w:t>
      </w:r>
      <w:r w:rsidR="00FA0BA1" w:rsidRPr="000F4E08">
        <w:rPr>
          <w:bCs/>
        </w:rPr>
        <w:t>create a connection (affinity) with the four-year institution.</w:t>
      </w:r>
    </w:p>
    <w:p w14:paraId="0E13AB20" w14:textId="77777777" w:rsidR="003766A8" w:rsidRPr="000F4E08" w:rsidRDefault="003766A8" w:rsidP="006442D8">
      <w:pPr>
        <w:pBdr>
          <w:top w:val="nil"/>
          <w:left w:val="nil"/>
          <w:bottom w:val="nil"/>
          <w:right w:val="nil"/>
          <w:between w:val="nil"/>
        </w:pBdr>
        <w:spacing w:after="0"/>
        <w:rPr>
          <w:bCs/>
        </w:rPr>
      </w:pPr>
    </w:p>
    <w:p w14:paraId="3A768399" w14:textId="04E83841" w:rsidR="006442D8" w:rsidRPr="000F4E08" w:rsidRDefault="006442D8" w:rsidP="006442D8">
      <w:pPr>
        <w:pBdr>
          <w:top w:val="nil"/>
          <w:left w:val="nil"/>
          <w:bottom w:val="nil"/>
          <w:right w:val="nil"/>
          <w:between w:val="nil"/>
        </w:pBdr>
        <w:spacing w:after="0"/>
        <w:rPr>
          <w:b/>
          <w:u w:val="single"/>
        </w:rPr>
      </w:pPr>
      <w:r w:rsidRPr="000F4E08">
        <w:rPr>
          <w:b/>
          <w:u w:val="single"/>
        </w:rPr>
        <w:t>What Role will NYSACAC Play?</w:t>
      </w:r>
    </w:p>
    <w:p w14:paraId="5BC2D8AC" w14:textId="5CFF2E20" w:rsidR="00CF4E6A" w:rsidRPr="000F4E08" w:rsidRDefault="00CF4E6A" w:rsidP="006442D8">
      <w:pPr>
        <w:pBdr>
          <w:top w:val="nil"/>
          <w:left w:val="nil"/>
          <w:bottom w:val="nil"/>
          <w:right w:val="nil"/>
          <w:between w:val="nil"/>
        </w:pBdr>
        <w:spacing w:after="0"/>
        <w:rPr>
          <w:b/>
          <w:u w:val="single"/>
        </w:rPr>
      </w:pPr>
    </w:p>
    <w:p w14:paraId="44997431" w14:textId="4E0B4B39" w:rsidR="00CF4E6A" w:rsidRPr="000F4E08" w:rsidRDefault="00CF4E6A" w:rsidP="00CF4E6A">
      <w:pPr>
        <w:pBdr>
          <w:top w:val="nil"/>
          <w:left w:val="nil"/>
          <w:bottom w:val="nil"/>
          <w:right w:val="nil"/>
          <w:between w:val="nil"/>
        </w:pBdr>
        <w:spacing w:after="0"/>
        <w:ind w:left="720"/>
        <w:rPr>
          <w:b/>
          <w:u w:val="single"/>
        </w:rPr>
      </w:pPr>
      <w:r w:rsidRPr="000F4E08">
        <w:t>With the focus on the transfer process and, in particular, the potential benefits of transfer pathways, the Association is in a unique position to contribute both in terms of advocacy for policy change and effecting adjustments to the processes and practices of college access.  NYSACAC membership runs the full gamut from CBO and secondary school counselors to community college admission and transfer advisors to four-year college admissions staff. Also, the Association’s close working relationships with CICU, NYSSCA, NYSTAA, and NYSFAAA provide opportunities for inter-association collaboration.</w:t>
      </w:r>
    </w:p>
    <w:p w14:paraId="626521FD" w14:textId="77777777" w:rsidR="004727CC" w:rsidRPr="000F4E08" w:rsidRDefault="004727CC" w:rsidP="006442D8">
      <w:pPr>
        <w:pBdr>
          <w:top w:val="nil"/>
          <w:left w:val="nil"/>
          <w:bottom w:val="nil"/>
          <w:right w:val="nil"/>
          <w:between w:val="nil"/>
        </w:pBdr>
        <w:spacing w:after="0"/>
        <w:rPr>
          <w:bCs/>
        </w:rPr>
      </w:pPr>
    </w:p>
    <w:p w14:paraId="3CD3D134" w14:textId="330A7B9F" w:rsidR="008C440F" w:rsidRPr="000F4E08" w:rsidRDefault="008C440F" w:rsidP="006442D8">
      <w:pPr>
        <w:pBdr>
          <w:top w:val="nil"/>
          <w:left w:val="nil"/>
          <w:bottom w:val="nil"/>
          <w:right w:val="nil"/>
          <w:between w:val="nil"/>
        </w:pBdr>
        <w:spacing w:after="0"/>
        <w:rPr>
          <w:b/>
          <w:u w:val="single"/>
        </w:rPr>
      </w:pPr>
      <w:r w:rsidRPr="000F4E08">
        <w:rPr>
          <w:b/>
          <w:u w:val="single"/>
        </w:rPr>
        <w:t xml:space="preserve">Legislative and </w:t>
      </w:r>
      <w:r w:rsidR="00F3424E" w:rsidRPr="000F4E08">
        <w:rPr>
          <w:b/>
          <w:u w:val="single"/>
        </w:rPr>
        <w:t xml:space="preserve">Policy </w:t>
      </w:r>
      <w:r w:rsidRPr="000F4E08">
        <w:rPr>
          <w:b/>
          <w:u w:val="single"/>
        </w:rPr>
        <w:t>Advocacy</w:t>
      </w:r>
    </w:p>
    <w:p w14:paraId="3435454D" w14:textId="7AB059D6" w:rsidR="00CF4E6A" w:rsidRPr="000F4E08" w:rsidRDefault="00CF4E6A" w:rsidP="006442D8">
      <w:pPr>
        <w:pBdr>
          <w:top w:val="nil"/>
          <w:left w:val="nil"/>
          <w:bottom w:val="nil"/>
          <w:right w:val="nil"/>
          <w:between w:val="nil"/>
        </w:pBdr>
        <w:spacing w:after="0"/>
        <w:rPr>
          <w:bCs/>
        </w:rPr>
      </w:pPr>
    </w:p>
    <w:p w14:paraId="49702648" w14:textId="6C7D5C78" w:rsidR="00C074AA" w:rsidRPr="000F4E08" w:rsidRDefault="00C074AA" w:rsidP="00AD0508">
      <w:pPr>
        <w:spacing w:after="0"/>
        <w:ind w:left="720"/>
      </w:pPr>
      <w:r w:rsidRPr="000F4E08">
        <w:t>The</w:t>
      </w:r>
      <w:r w:rsidR="00353000" w:rsidRPr="000F4E08">
        <w:t>se</w:t>
      </w:r>
      <w:r w:rsidRPr="000F4E08">
        <w:t xml:space="preserve"> findings and recommendations</w:t>
      </w:r>
      <w:r w:rsidR="005A5F7E" w:rsidRPr="000F4E08">
        <w:t xml:space="preserve"> will be </w:t>
      </w:r>
      <w:r w:rsidR="00BA4EE1" w:rsidRPr="000F4E08">
        <w:t>a central part of the deliberations during the Virtual Convenings in October.  They</w:t>
      </w:r>
      <w:r w:rsidRPr="000F4E08">
        <w:t xml:space="preserve"> support and augment </w:t>
      </w:r>
      <w:r w:rsidR="00C2276F" w:rsidRPr="000F4E08">
        <w:t xml:space="preserve">NYSACAC’s Government Relations </w:t>
      </w:r>
      <w:r w:rsidRPr="000F4E08">
        <w:t>Committee’s current agenda of:</w:t>
      </w:r>
    </w:p>
    <w:p w14:paraId="6E796C60" w14:textId="77777777" w:rsidR="00C074AA" w:rsidRPr="000F4E08" w:rsidRDefault="00C074AA" w:rsidP="00C074AA">
      <w:pPr>
        <w:numPr>
          <w:ilvl w:val="0"/>
          <w:numId w:val="6"/>
        </w:numPr>
        <w:pBdr>
          <w:top w:val="nil"/>
          <w:left w:val="nil"/>
          <w:bottom w:val="nil"/>
          <w:right w:val="nil"/>
          <w:between w:val="nil"/>
        </w:pBdr>
        <w:spacing w:after="0"/>
        <w:ind w:left="1368" w:hanging="360"/>
      </w:pPr>
      <w:r w:rsidRPr="000F4E08">
        <w:t>Basic Needs Insecurity</w:t>
      </w:r>
    </w:p>
    <w:p w14:paraId="433F7F02" w14:textId="77777777" w:rsidR="00C074AA" w:rsidRPr="000F4E08" w:rsidRDefault="00C074AA" w:rsidP="00C074AA">
      <w:pPr>
        <w:numPr>
          <w:ilvl w:val="0"/>
          <w:numId w:val="6"/>
        </w:numPr>
        <w:pBdr>
          <w:top w:val="nil"/>
          <w:left w:val="nil"/>
          <w:bottom w:val="nil"/>
          <w:right w:val="nil"/>
          <w:between w:val="nil"/>
        </w:pBdr>
        <w:spacing w:after="0"/>
        <w:ind w:left="1368" w:hanging="360"/>
      </w:pPr>
      <w:r w:rsidRPr="000F4E08">
        <w:t>For-Profit Colleges</w:t>
      </w:r>
    </w:p>
    <w:p w14:paraId="75F84B5C" w14:textId="77777777" w:rsidR="00C074AA" w:rsidRPr="000F4E08" w:rsidRDefault="00C074AA" w:rsidP="00C074AA">
      <w:pPr>
        <w:numPr>
          <w:ilvl w:val="0"/>
          <w:numId w:val="6"/>
        </w:numPr>
        <w:pBdr>
          <w:top w:val="nil"/>
          <w:left w:val="nil"/>
          <w:bottom w:val="nil"/>
          <w:right w:val="nil"/>
          <w:between w:val="nil"/>
        </w:pBdr>
        <w:spacing w:after="0"/>
        <w:ind w:left="1368" w:hanging="360"/>
      </w:pPr>
      <w:r w:rsidRPr="000F4E08">
        <w:t>Pathways that Support Postsecondary Persistence</w:t>
      </w:r>
    </w:p>
    <w:p w14:paraId="7F2FAADB" w14:textId="33061212" w:rsidR="0002042F" w:rsidRPr="000F4E08" w:rsidRDefault="00C074AA" w:rsidP="0002042F">
      <w:pPr>
        <w:numPr>
          <w:ilvl w:val="0"/>
          <w:numId w:val="6"/>
        </w:numPr>
        <w:pBdr>
          <w:top w:val="nil"/>
          <w:left w:val="nil"/>
          <w:bottom w:val="nil"/>
          <w:right w:val="nil"/>
          <w:between w:val="nil"/>
        </w:pBdr>
        <w:spacing w:after="0"/>
        <w:ind w:left="1368" w:hanging="360"/>
      </w:pPr>
      <w:r w:rsidRPr="000F4E08">
        <w:t>TAP and State Aid</w:t>
      </w:r>
    </w:p>
    <w:p w14:paraId="5A734FCA" w14:textId="182F3E0A" w:rsidR="00CF4E6A" w:rsidRPr="00340E8F" w:rsidRDefault="001E252C" w:rsidP="00340E8F">
      <w:pPr>
        <w:pBdr>
          <w:top w:val="nil"/>
          <w:left w:val="nil"/>
          <w:bottom w:val="nil"/>
          <w:right w:val="nil"/>
          <w:between w:val="nil"/>
        </w:pBdr>
        <w:spacing w:after="0"/>
        <w:ind w:left="720" w:hanging="720"/>
      </w:pPr>
      <w:r w:rsidRPr="000F4E08">
        <w:t xml:space="preserve">           </w:t>
      </w:r>
    </w:p>
    <w:p w14:paraId="553656E5" w14:textId="110415D9" w:rsidR="0041738C" w:rsidRPr="000F4E08" w:rsidRDefault="0041738C" w:rsidP="006442D8">
      <w:pPr>
        <w:pBdr>
          <w:top w:val="nil"/>
          <w:left w:val="nil"/>
          <w:bottom w:val="nil"/>
          <w:right w:val="nil"/>
          <w:between w:val="nil"/>
        </w:pBdr>
        <w:spacing w:after="0"/>
        <w:rPr>
          <w:b/>
          <w:u w:val="single"/>
        </w:rPr>
      </w:pPr>
      <w:r w:rsidRPr="000F4E08">
        <w:rPr>
          <w:b/>
          <w:u w:val="single"/>
        </w:rPr>
        <w:t>Institutional Policy and Practice</w:t>
      </w:r>
    </w:p>
    <w:p w14:paraId="64C6E299" w14:textId="77777777" w:rsidR="00AD0508" w:rsidRPr="000F4E08" w:rsidRDefault="00AD0508" w:rsidP="006442D8">
      <w:pPr>
        <w:pBdr>
          <w:top w:val="nil"/>
          <w:left w:val="nil"/>
          <w:bottom w:val="nil"/>
          <w:right w:val="nil"/>
          <w:between w:val="nil"/>
        </w:pBdr>
        <w:spacing w:after="0"/>
        <w:rPr>
          <w:b/>
          <w:u w:val="single"/>
        </w:rPr>
      </w:pPr>
    </w:p>
    <w:p w14:paraId="4A865A11" w14:textId="77777777" w:rsidR="00435BB8" w:rsidRPr="000F4E08" w:rsidRDefault="00AD0508" w:rsidP="00AD0508">
      <w:pPr>
        <w:spacing w:after="0"/>
        <w:ind w:left="720"/>
      </w:pPr>
      <w:r w:rsidRPr="000F4E08">
        <w:t xml:space="preserve">This section delineates the many issues raised during the VCs that pertain primarily to institutional policy and practice.  </w:t>
      </w:r>
      <w:r w:rsidR="0007228D" w:rsidRPr="000F4E08">
        <w:t xml:space="preserve">It also offers </w:t>
      </w:r>
      <w:r w:rsidR="004F3336" w:rsidRPr="000F4E08">
        <w:t xml:space="preserve">recommendations for consideration.  </w:t>
      </w:r>
      <w:r w:rsidR="004C0BDD" w:rsidRPr="000F4E08">
        <w:t xml:space="preserve">These are organized </w:t>
      </w:r>
      <w:r w:rsidR="00435BB8" w:rsidRPr="000F4E08">
        <w:t>within the three categories below.</w:t>
      </w:r>
    </w:p>
    <w:p w14:paraId="149B0D67" w14:textId="77777777" w:rsidR="00435BB8" w:rsidRPr="000F4E08" w:rsidRDefault="00435BB8" w:rsidP="00AD0508">
      <w:pPr>
        <w:spacing w:after="0"/>
        <w:ind w:left="720"/>
      </w:pPr>
    </w:p>
    <w:p w14:paraId="70BB9C7D" w14:textId="22F9BF1D" w:rsidR="0078499A" w:rsidRPr="000F4E08" w:rsidRDefault="00C948B1" w:rsidP="002535B7">
      <w:pPr>
        <w:spacing w:after="0"/>
        <w:ind w:left="720"/>
        <w:rPr>
          <w:bCs/>
          <w:u w:val="single"/>
        </w:rPr>
      </w:pPr>
      <w:r w:rsidRPr="000F4E08">
        <w:t xml:space="preserve">Finding and recommendations are organized </w:t>
      </w:r>
      <w:r w:rsidR="00E02295" w:rsidRPr="000F4E08">
        <w:t>as best possible within the following categories: Advising/Admission/Aid</w:t>
      </w:r>
      <w:r w:rsidR="00AF3270" w:rsidRPr="000F4E08">
        <w:t xml:space="preserve">, Academics, and Transition to Four-Year Colleges. </w:t>
      </w:r>
    </w:p>
    <w:p w14:paraId="1226838B" w14:textId="77777777" w:rsidR="0078499A" w:rsidRPr="000F4E08" w:rsidRDefault="0078499A" w:rsidP="006442D8">
      <w:pPr>
        <w:pBdr>
          <w:top w:val="nil"/>
          <w:left w:val="nil"/>
          <w:bottom w:val="nil"/>
          <w:right w:val="nil"/>
          <w:between w:val="nil"/>
        </w:pBdr>
        <w:spacing w:after="0"/>
        <w:rPr>
          <w:bCs/>
          <w:u w:val="single"/>
        </w:rPr>
      </w:pPr>
    </w:p>
    <w:p w14:paraId="427C58CD" w14:textId="62258B55" w:rsidR="002D3BE4" w:rsidRPr="000F4E08" w:rsidRDefault="002D3BE4" w:rsidP="006442D8">
      <w:pPr>
        <w:pBdr>
          <w:top w:val="nil"/>
          <w:left w:val="nil"/>
          <w:bottom w:val="nil"/>
          <w:right w:val="nil"/>
          <w:between w:val="nil"/>
        </w:pBdr>
        <w:spacing w:after="0"/>
        <w:rPr>
          <w:b/>
          <w:u w:val="single"/>
        </w:rPr>
      </w:pPr>
      <w:r w:rsidRPr="000F4E08">
        <w:rPr>
          <w:b/>
          <w:u w:val="single"/>
        </w:rPr>
        <w:t>Resources</w:t>
      </w:r>
    </w:p>
    <w:p w14:paraId="555F26E0" w14:textId="77777777" w:rsidR="002535B7" w:rsidRPr="000F4E08" w:rsidRDefault="002535B7" w:rsidP="006442D8">
      <w:pPr>
        <w:pBdr>
          <w:top w:val="nil"/>
          <w:left w:val="nil"/>
          <w:bottom w:val="nil"/>
          <w:right w:val="nil"/>
          <w:between w:val="nil"/>
        </w:pBdr>
        <w:spacing w:after="0"/>
        <w:rPr>
          <w:b/>
          <w:u w:val="single"/>
        </w:rPr>
      </w:pPr>
    </w:p>
    <w:p w14:paraId="5D1DBC4C" w14:textId="77777777" w:rsidR="00C169AF" w:rsidRPr="000F4E08" w:rsidRDefault="00C169AF" w:rsidP="00C169AF">
      <w:pPr>
        <w:spacing w:after="0"/>
        <w:ind w:left="720"/>
        <w:rPr>
          <w:bCs/>
        </w:rPr>
      </w:pPr>
      <w:r w:rsidRPr="000F4E08">
        <w:rPr>
          <w:bCs/>
        </w:rPr>
        <w:t>Throughout the project, the following resources have been collected to inform and support these conversations.  While not exhaustive – new information and ideas come available on a regular basis – the list is representative of the variety of resources individuals, institutions, and organizations can utilize as they seek ways to strengthen opportunities for more transfer students to achieve their higher ed goals.</w:t>
      </w:r>
    </w:p>
    <w:p w14:paraId="48040417" w14:textId="77777777" w:rsidR="00C169AF" w:rsidRPr="000F4E08" w:rsidRDefault="00C169AF" w:rsidP="006442D8">
      <w:pPr>
        <w:pBdr>
          <w:top w:val="nil"/>
          <w:left w:val="nil"/>
          <w:bottom w:val="nil"/>
          <w:right w:val="nil"/>
          <w:between w:val="nil"/>
        </w:pBdr>
        <w:spacing w:after="0"/>
        <w:rPr>
          <w:b/>
          <w:u w:val="single"/>
        </w:rPr>
      </w:pPr>
    </w:p>
    <w:p w14:paraId="45AC6525" w14:textId="755B3FFC" w:rsidR="002D3BE4" w:rsidRPr="000F4E08" w:rsidRDefault="002D3BE4" w:rsidP="006442D8">
      <w:pPr>
        <w:pBdr>
          <w:top w:val="nil"/>
          <w:left w:val="nil"/>
          <w:bottom w:val="nil"/>
          <w:right w:val="nil"/>
          <w:between w:val="nil"/>
        </w:pBdr>
        <w:spacing w:after="0"/>
        <w:rPr>
          <w:bCs/>
          <w:u w:val="single"/>
        </w:rPr>
      </w:pPr>
      <w:r w:rsidRPr="000F4E08">
        <w:rPr>
          <w:bCs/>
        </w:rPr>
        <w:tab/>
      </w:r>
      <w:r w:rsidR="008F31CA" w:rsidRPr="000F4E08">
        <w:rPr>
          <w:bCs/>
          <w:u w:val="single"/>
        </w:rPr>
        <w:t>Information and Data</w:t>
      </w:r>
    </w:p>
    <w:p w14:paraId="0486959C" w14:textId="77777777" w:rsidR="009D1486" w:rsidRPr="000F4E08" w:rsidRDefault="009D1486" w:rsidP="009D1486">
      <w:pPr>
        <w:spacing w:after="0"/>
        <w:ind w:left="720" w:firstLine="720"/>
        <w:rPr>
          <w:bCs/>
        </w:rPr>
      </w:pPr>
      <w:r w:rsidRPr="000F4E08">
        <w:rPr>
          <w:bCs/>
        </w:rPr>
        <w:t>Important facts on which advocacy agendas and operational changes can be based.</w:t>
      </w:r>
    </w:p>
    <w:p w14:paraId="48B28AE0" w14:textId="77777777" w:rsidR="009D1486" w:rsidRPr="000F4E08" w:rsidRDefault="009D1486" w:rsidP="006442D8">
      <w:pPr>
        <w:pBdr>
          <w:top w:val="nil"/>
          <w:left w:val="nil"/>
          <w:bottom w:val="nil"/>
          <w:right w:val="nil"/>
          <w:between w:val="nil"/>
        </w:pBdr>
        <w:spacing w:after="0"/>
        <w:rPr>
          <w:bCs/>
          <w:u w:val="single"/>
        </w:rPr>
      </w:pPr>
    </w:p>
    <w:p w14:paraId="68DC0547" w14:textId="38ACBC70" w:rsidR="008F31CA" w:rsidRPr="000F4E08" w:rsidRDefault="008F31CA" w:rsidP="006442D8">
      <w:pPr>
        <w:pBdr>
          <w:top w:val="nil"/>
          <w:left w:val="nil"/>
          <w:bottom w:val="nil"/>
          <w:right w:val="nil"/>
          <w:between w:val="nil"/>
        </w:pBdr>
        <w:spacing w:after="0"/>
        <w:rPr>
          <w:bCs/>
          <w:u w:val="single"/>
        </w:rPr>
      </w:pPr>
      <w:r w:rsidRPr="000F4E08">
        <w:rPr>
          <w:bCs/>
        </w:rPr>
        <w:tab/>
      </w:r>
      <w:r w:rsidRPr="000F4E08">
        <w:rPr>
          <w:bCs/>
          <w:u w:val="single"/>
        </w:rPr>
        <w:t>Advocacy</w:t>
      </w:r>
    </w:p>
    <w:p w14:paraId="55C5F202" w14:textId="7B990C62" w:rsidR="00D845BC" w:rsidRPr="000F4E08" w:rsidRDefault="00D845BC" w:rsidP="00D845BC">
      <w:pPr>
        <w:ind w:left="1440"/>
      </w:pPr>
      <w:r w:rsidRPr="000F4E08">
        <w:t>Advocating systemic and program change to legislators</w:t>
      </w:r>
      <w:r w:rsidR="00EB5592" w:rsidRPr="000F4E08">
        <w:t>, along with</w:t>
      </w:r>
      <w:r w:rsidRPr="000F4E08">
        <w:t xml:space="preserve"> sector and institutional policy makers</w:t>
      </w:r>
      <w:r w:rsidR="00346C97" w:rsidRPr="000F4E08">
        <w:t>,</w:t>
      </w:r>
      <w:r w:rsidRPr="000F4E08">
        <w:t xml:space="preserve"> is central to this effort and the overall Student Success initiative.  As indicated earlier, NYSACAC continues to pursue a robust and ambitious advocacy agenda to which some of the project’s results can be added.  This section also highlights advocacy activity of NACAC and other project collaborators. </w:t>
      </w:r>
    </w:p>
    <w:p w14:paraId="397D11CD" w14:textId="676BBF07" w:rsidR="001D34D1" w:rsidRDefault="001D34D1" w:rsidP="00D845BC">
      <w:pPr>
        <w:ind w:left="1440"/>
      </w:pPr>
    </w:p>
    <w:p w14:paraId="2B8C4EA1" w14:textId="77777777" w:rsidR="00340E8F" w:rsidRPr="000F4E08" w:rsidRDefault="00340E8F" w:rsidP="00D845BC">
      <w:pPr>
        <w:ind w:left="1440"/>
      </w:pPr>
    </w:p>
    <w:p w14:paraId="156FDEBE" w14:textId="77777777" w:rsidR="001D34D1" w:rsidRPr="000F4E08" w:rsidRDefault="001D34D1" w:rsidP="00D845BC">
      <w:pPr>
        <w:ind w:left="1440"/>
      </w:pPr>
    </w:p>
    <w:p w14:paraId="12F4CEB1" w14:textId="50D7572E" w:rsidR="008F31CA" w:rsidRPr="000F4E08" w:rsidRDefault="008F31CA" w:rsidP="006442D8">
      <w:pPr>
        <w:pBdr>
          <w:top w:val="nil"/>
          <w:left w:val="nil"/>
          <w:bottom w:val="nil"/>
          <w:right w:val="nil"/>
          <w:between w:val="nil"/>
        </w:pBdr>
        <w:spacing w:after="0"/>
        <w:rPr>
          <w:bCs/>
          <w:u w:val="single"/>
        </w:rPr>
      </w:pPr>
      <w:r w:rsidRPr="000F4E08">
        <w:rPr>
          <w:bCs/>
        </w:rPr>
        <w:tab/>
      </w:r>
      <w:r w:rsidRPr="000F4E08">
        <w:rPr>
          <w:bCs/>
          <w:u w:val="single"/>
        </w:rPr>
        <w:t>Pertinent Research</w:t>
      </w:r>
    </w:p>
    <w:p w14:paraId="3B4399BE" w14:textId="77777777" w:rsidR="001B0A9B" w:rsidRPr="000F4E08" w:rsidRDefault="001B0A9B" w:rsidP="001B0A9B">
      <w:pPr>
        <w:spacing w:after="0"/>
        <w:ind w:left="1440"/>
      </w:pPr>
      <w:r w:rsidRPr="000F4E08">
        <w:lastRenderedPageBreak/>
        <w:t xml:space="preserve">Research efforts and findings can be invaluable as institutions and organizations seek to improve their transfer programs.  There is much recent research to consider and ongoing studies whose future findings will reveal additional insight.  </w:t>
      </w:r>
    </w:p>
    <w:p w14:paraId="70384F35" w14:textId="77777777" w:rsidR="001B0A9B" w:rsidRPr="000F4E08" w:rsidRDefault="001B0A9B" w:rsidP="006442D8">
      <w:pPr>
        <w:pBdr>
          <w:top w:val="nil"/>
          <w:left w:val="nil"/>
          <w:bottom w:val="nil"/>
          <w:right w:val="nil"/>
          <w:between w:val="nil"/>
        </w:pBdr>
        <w:spacing w:after="0"/>
        <w:rPr>
          <w:bCs/>
          <w:u w:val="single"/>
        </w:rPr>
      </w:pPr>
    </w:p>
    <w:p w14:paraId="3DDE7B86" w14:textId="6A7CE25A" w:rsidR="000D5871" w:rsidRPr="000F4E08" w:rsidRDefault="000D5871" w:rsidP="006442D8">
      <w:pPr>
        <w:pBdr>
          <w:top w:val="nil"/>
          <w:left w:val="nil"/>
          <w:bottom w:val="nil"/>
          <w:right w:val="nil"/>
          <w:between w:val="nil"/>
        </w:pBdr>
        <w:spacing w:after="0"/>
        <w:rPr>
          <w:bCs/>
          <w:u w:val="single"/>
        </w:rPr>
      </w:pPr>
      <w:r w:rsidRPr="000F4E08">
        <w:rPr>
          <w:bCs/>
        </w:rPr>
        <w:tab/>
      </w:r>
      <w:r w:rsidRPr="000F4E08">
        <w:rPr>
          <w:bCs/>
          <w:u w:val="single"/>
        </w:rPr>
        <w:t>Press and Publications</w:t>
      </w:r>
    </w:p>
    <w:p w14:paraId="4F3D7144" w14:textId="49E605D7" w:rsidR="00C846FF" w:rsidRPr="000F4E08" w:rsidRDefault="00C846FF" w:rsidP="00C846FF">
      <w:pPr>
        <w:spacing w:after="0"/>
        <w:ind w:left="1440"/>
        <w:rPr>
          <w:bCs/>
        </w:rPr>
      </w:pPr>
      <w:r w:rsidRPr="000F4E08">
        <w:rPr>
          <w:bCs/>
        </w:rPr>
        <w:t>Hardly a day passes without some report and/or opinion piece in a major newspaper exploring the potential impact of COVID-19 on higher education.  Prior to the pandemic</w:t>
      </w:r>
      <w:r w:rsidR="00646B88" w:rsidRPr="000F4E08">
        <w:rPr>
          <w:bCs/>
        </w:rPr>
        <w:t xml:space="preserve"> and since</w:t>
      </w:r>
      <w:r w:rsidRPr="000F4E08">
        <w:rPr>
          <w:bCs/>
        </w:rPr>
        <w:t>, college</w:t>
      </w:r>
      <w:r w:rsidR="00646B88" w:rsidRPr="000F4E08">
        <w:rPr>
          <w:bCs/>
        </w:rPr>
        <w:t xml:space="preserve"> admissions</w:t>
      </w:r>
      <w:r w:rsidRPr="000F4E08">
        <w:rPr>
          <w:bCs/>
        </w:rPr>
        <w:t xml:space="preserve"> – complete with concerns about pricing, diversity, and ongoing relevance, among others – was</w:t>
      </w:r>
      <w:r w:rsidR="00C9092E" w:rsidRPr="000F4E08">
        <w:rPr>
          <w:bCs/>
        </w:rPr>
        <w:t xml:space="preserve"> and continues to be</w:t>
      </w:r>
      <w:r w:rsidRPr="000F4E08">
        <w:rPr>
          <w:bCs/>
        </w:rPr>
        <w:t xml:space="preserve"> a regular topic of writers.  This section provides a sampling of stories, opinion, and published books pertinent to the project’s theme of student success. </w:t>
      </w:r>
    </w:p>
    <w:p w14:paraId="540497B9" w14:textId="77777777" w:rsidR="00C846FF" w:rsidRPr="000F4E08" w:rsidRDefault="00C846FF" w:rsidP="006442D8">
      <w:pPr>
        <w:pBdr>
          <w:top w:val="nil"/>
          <w:left w:val="nil"/>
          <w:bottom w:val="nil"/>
          <w:right w:val="nil"/>
          <w:between w:val="nil"/>
        </w:pBdr>
        <w:spacing w:after="0"/>
        <w:rPr>
          <w:bCs/>
          <w:u w:val="single"/>
        </w:rPr>
      </w:pPr>
    </w:p>
    <w:p w14:paraId="264C208E" w14:textId="018CBFA0" w:rsidR="00123746" w:rsidRPr="000F4E08" w:rsidRDefault="00123746" w:rsidP="006442D8">
      <w:pPr>
        <w:pBdr>
          <w:top w:val="nil"/>
          <w:left w:val="nil"/>
          <w:bottom w:val="nil"/>
          <w:right w:val="nil"/>
          <w:between w:val="nil"/>
        </w:pBdr>
        <w:spacing w:after="0"/>
        <w:rPr>
          <w:bCs/>
          <w:u w:val="single"/>
        </w:rPr>
      </w:pPr>
      <w:r w:rsidRPr="000F4E08">
        <w:rPr>
          <w:bCs/>
        </w:rPr>
        <w:tab/>
      </w:r>
      <w:r w:rsidRPr="000F4E08">
        <w:rPr>
          <w:bCs/>
          <w:u w:val="single"/>
        </w:rPr>
        <w:t xml:space="preserve">Programs </w:t>
      </w:r>
    </w:p>
    <w:p w14:paraId="091747BA" w14:textId="77777777" w:rsidR="00F167D3" w:rsidRPr="000F4E08" w:rsidRDefault="00F167D3" w:rsidP="00F167D3">
      <w:pPr>
        <w:pBdr>
          <w:top w:val="nil"/>
          <w:left w:val="nil"/>
          <w:bottom w:val="nil"/>
          <w:right w:val="nil"/>
          <w:between w:val="nil"/>
        </w:pBdr>
        <w:spacing w:after="0"/>
        <w:ind w:left="1440"/>
      </w:pPr>
      <w:r w:rsidRPr="000F4E08">
        <w:t>There are programs in place that can serve as sources of information and inspiration.  This sample of programs is pertinent NYSACAC’s student success project.</w:t>
      </w:r>
    </w:p>
    <w:p w14:paraId="0FA0061D" w14:textId="77777777" w:rsidR="00F167D3" w:rsidRPr="000F4E08" w:rsidRDefault="00F167D3" w:rsidP="006442D8">
      <w:pPr>
        <w:pBdr>
          <w:top w:val="nil"/>
          <w:left w:val="nil"/>
          <w:bottom w:val="nil"/>
          <w:right w:val="nil"/>
          <w:between w:val="nil"/>
        </w:pBdr>
        <w:spacing w:after="0"/>
        <w:rPr>
          <w:bCs/>
          <w:u w:val="single"/>
        </w:rPr>
      </w:pPr>
    </w:p>
    <w:p w14:paraId="2F2AED78" w14:textId="2D36E56A" w:rsidR="00123746" w:rsidRPr="000F4E08" w:rsidRDefault="00123746" w:rsidP="006442D8">
      <w:pPr>
        <w:pBdr>
          <w:top w:val="nil"/>
          <w:left w:val="nil"/>
          <w:bottom w:val="nil"/>
          <w:right w:val="nil"/>
          <w:between w:val="nil"/>
        </w:pBdr>
        <w:spacing w:after="0"/>
        <w:rPr>
          <w:bCs/>
          <w:u w:val="single"/>
        </w:rPr>
      </w:pPr>
      <w:r w:rsidRPr="000F4E08">
        <w:rPr>
          <w:bCs/>
        </w:rPr>
        <w:tab/>
      </w:r>
      <w:r w:rsidRPr="000F4E08">
        <w:rPr>
          <w:bCs/>
          <w:u w:val="single"/>
        </w:rPr>
        <w:t>Tools</w:t>
      </w:r>
    </w:p>
    <w:p w14:paraId="18589B21" w14:textId="77777777" w:rsidR="003265BB" w:rsidRPr="000F4E08" w:rsidRDefault="003265BB" w:rsidP="00450B81">
      <w:pPr>
        <w:spacing w:after="0"/>
        <w:ind w:left="1440"/>
        <w:rPr>
          <w:bCs/>
        </w:rPr>
      </w:pPr>
      <w:r w:rsidRPr="000F4E08">
        <w:rPr>
          <w:bCs/>
        </w:rPr>
        <w:t>These “tools of the trade” now utilized by institutions, systems, and organizations can provide useful insight and, perhaps, a quick start to projects others are considering.</w:t>
      </w:r>
    </w:p>
    <w:p w14:paraId="2E0BDE36" w14:textId="77777777" w:rsidR="003265BB" w:rsidRPr="000F4E08" w:rsidRDefault="003265BB" w:rsidP="006442D8">
      <w:pPr>
        <w:pBdr>
          <w:top w:val="nil"/>
          <w:left w:val="nil"/>
          <w:bottom w:val="nil"/>
          <w:right w:val="nil"/>
          <w:between w:val="nil"/>
        </w:pBdr>
        <w:spacing w:after="0"/>
        <w:rPr>
          <w:bCs/>
          <w:u w:val="single"/>
        </w:rPr>
      </w:pPr>
    </w:p>
    <w:p w14:paraId="1BF281C1" w14:textId="77777777" w:rsidR="00F00618" w:rsidRPr="000F4E08" w:rsidRDefault="00F00618" w:rsidP="006442D8">
      <w:pPr>
        <w:pBdr>
          <w:top w:val="nil"/>
          <w:left w:val="nil"/>
          <w:bottom w:val="nil"/>
          <w:right w:val="nil"/>
          <w:between w:val="nil"/>
        </w:pBdr>
        <w:spacing w:after="0"/>
        <w:rPr>
          <w:b/>
          <w:u w:val="single"/>
        </w:rPr>
      </w:pPr>
    </w:p>
    <w:p w14:paraId="51529437" w14:textId="4D648794" w:rsidR="008D7ECD" w:rsidRPr="000F4E08" w:rsidRDefault="008D7ECD" w:rsidP="006442D8">
      <w:pPr>
        <w:pBdr>
          <w:top w:val="nil"/>
          <w:left w:val="nil"/>
          <w:bottom w:val="nil"/>
          <w:right w:val="nil"/>
          <w:between w:val="nil"/>
        </w:pBdr>
        <w:spacing w:after="0"/>
        <w:rPr>
          <w:b/>
          <w:u w:val="single"/>
        </w:rPr>
      </w:pPr>
      <w:r w:rsidRPr="000F4E08">
        <w:rPr>
          <w:b/>
          <w:u w:val="single"/>
        </w:rPr>
        <w:t>Best Practices</w:t>
      </w:r>
    </w:p>
    <w:p w14:paraId="24B204A2" w14:textId="77777777" w:rsidR="00717A06" w:rsidRPr="000F4E08" w:rsidRDefault="00717A06" w:rsidP="006442D8">
      <w:pPr>
        <w:pBdr>
          <w:top w:val="nil"/>
          <w:left w:val="nil"/>
          <w:bottom w:val="nil"/>
          <w:right w:val="nil"/>
          <w:between w:val="nil"/>
        </w:pBdr>
        <w:spacing w:after="0"/>
        <w:rPr>
          <w:b/>
          <w:u w:val="single"/>
        </w:rPr>
      </w:pPr>
    </w:p>
    <w:p w14:paraId="1E2A073E" w14:textId="77777777" w:rsidR="00717A06" w:rsidRPr="000F4E08" w:rsidRDefault="00717A06" w:rsidP="00717A06">
      <w:pPr>
        <w:spacing w:after="0"/>
        <w:ind w:left="720"/>
        <w:rPr>
          <w:bCs/>
        </w:rPr>
      </w:pPr>
      <w:r w:rsidRPr="000F4E08">
        <w:rPr>
          <w:bCs/>
        </w:rPr>
        <w:t>Taking the approach that “there is nothing new under the sun” or “imitation is the sincerest form of flattery,” best practices can serve as models for new program design or existing program enhancement.  Many “best” practices are also “transferrable” practices.</w:t>
      </w:r>
    </w:p>
    <w:p w14:paraId="008234A3" w14:textId="77777777" w:rsidR="00717A06" w:rsidRPr="000F4E08" w:rsidRDefault="00717A06" w:rsidP="006442D8">
      <w:pPr>
        <w:pBdr>
          <w:top w:val="nil"/>
          <w:left w:val="nil"/>
          <w:bottom w:val="nil"/>
          <w:right w:val="nil"/>
          <w:between w:val="nil"/>
        </w:pBdr>
        <w:spacing w:after="0"/>
        <w:rPr>
          <w:b/>
          <w:u w:val="single"/>
        </w:rPr>
      </w:pPr>
    </w:p>
    <w:p w14:paraId="50B2F4F3" w14:textId="77777777" w:rsidR="008D7ECD" w:rsidRPr="000F4E08" w:rsidRDefault="008D7ECD" w:rsidP="006442D8">
      <w:pPr>
        <w:pBdr>
          <w:top w:val="nil"/>
          <w:left w:val="nil"/>
          <w:bottom w:val="nil"/>
          <w:right w:val="nil"/>
          <w:between w:val="nil"/>
        </w:pBdr>
        <w:spacing w:after="0"/>
        <w:rPr>
          <w:bCs/>
        </w:rPr>
      </w:pPr>
    </w:p>
    <w:p w14:paraId="1FD9FE61" w14:textId="5A0E4696" w:rsidR="000B4DA9" w:rsidRPr="000F4E08" w:rsidRDefault="000B4DA9" w:rsidP="006442D8">
      <w:pPr>
        <w:pBdr>
          <w:top w:val="nil"/>
          <w:left w:val="nil"/>
          <w:bottom w:val="nil"/>
          <w:right w:val="nil"/>
          <w:between w:val="nil"/>
        </w:pBdr>
        <w:spacing w:after="0"/>
        <w:rPr>
          <w:b/>
          <w:u w:val="single"/>
        </w:rPr>
      </w:pPr>
      <w:r w:rsidRPr="000F4E08">
        <w:rPr>
          <w:b/>
          <w:u w:val="single"/>
        </w:rPr>
        <w:t>COVID-19</w:t>
      </w:r>
    </w:p>
    <w:p w14:paraId="70B6DCD1" w14:textId="77777777" w:rsidR="00FB518A" w:rsidRPr="000F4E08" w:rsidRDefault="00FB518A" w:rsidP="006442D8">
      <w:pPr>
        <w:pBdr>
          <w:top w:val="nil"/>
          <w:left w:val="nil"/>
          <w:bottom w:val="nil"/>
          <w:right w:val="nil"/>
          <w:between w:val="nil"/>
        </w:pBdr>
        <w:spacing w:after="0"/>
        <w:rPr>
          <w:b/>
          <w:u w:val="single"/>
        </w:rPr>
      </w:pPr>
    </w:p>
    <w:p w14:paraId="011BF84B" w14:textId="1FBB95D6" w:rsidR="00FB518A" w:rsidRPr="000F4E08" w:rsidRDefault="00FB518A" w:rsidP="00FB518A">
      <w:pPr>
        <w:spacing w:after="0"/>
        <w:ind w:left="720"/>
      </w:pPr>
      <w:r w:rsidRPr="000F4E08">
        <w:t>Without question, the disruption caused by the COVID-19 pandemic has exposed, exacerbated, and created significant inequities in our PK-16 educational system.  No school district, private school, community college, or four-year college – regardless of resources – has been untouched. However, our low SES communities have been particularly hard hit.  While the post-pandemic response is considered, it seems inevitable that there will not be enough resources to address all these needs</w:t>
      </w:r>
      <w:r w:rsidR="00D302FD" w:rsidRPr="000F4E08">
        <w:t xml:space="preserve"> </w:t>
      </w:r>
      <w:proofErr w:type="gramStart"/>
      <w:r w:rsidR="00D302FD" w:rsidRPr="000F4E08">
        <w:t>in the near future</w:t>
      </w:r>
      <w:proofErr w:type="gramEnd"/>
      <w:r w:rsidRPr="000F4E08">
        <w:t>.</w:t>
      </w:r>
    </w:p>
    <w:p w14:paraId="29111516" w14:textId="77777777" w:rsidR="00FB518A" w:rsidRPr="000F4E08" w:rsidRDefault="00FB518A" w:rsidP="00FB518A">
      <w:pPr>
        <w:spacing w:after="0"/>
        <w:ind w:left="720"/>
      </w:pPr>
    </w:p>
    <w:p w14:paraId="0F62BD8B" w14:textId="1B28B94A" w:rsidR="00FB518A" w:rsidRPr="000F4E08" w:rsidRDefault="00FB518A" w:rsidP="00FB518A">
      <w:pPr>
        <w:spacing w:after="0"/>
        <w:ind w:left="720"/>
      </w:pPr>
      <w:r w:rsidRPr="000F4E08">
        <w:t>In the not-so-distant future we can hope that the lessons learned from this experience will be applied to a reimaging of what a 21</w:t>
      </w:r>
      <w:r w:rsidRPr="000F4E08">
        <w:rPr>
          <w:vertAlign w:val="superscript"/>
        </w:rPr>
        <w:t>st</w:t>
      </w:r>
      <w:r w:rsidRPr="000F4E08">
        <w:t xml:space="preserve"> century education in the United States looks like.  In the meantime, it will take a coordinated effort by all those involved in PK-to-postsecondary success work to find opportunities for collaboration.  To not find ways to streamline processes, share resources, and coordinate efforts could jeopardize these opportunities for a few generations of students who wait by the sidelines as we figure out what this reimaged American education will look like.</w:t>
      </w:r>
    </w:p>
    <w:p w14:paraId="04591936" w14:textId="6928F179" w:rsidR="00A96024" w:rsidRPr="000F4E08" w:rsidRDefault="00A96024" w:rsidP="00FB518A">
      <w:pPr>
        <w:spacing w:after="0"/>
        <w:ind w:left="720"/>
      </w:pPr>
    </w:p>
    <w:p w14:paraId="62C4AC63" w14:textId="07D5D8AF" w:rsidR="00A96024" w:rsidRPr="000F4E08" w:rsidRDefault="00A96024" w:rsidP="00FB518A">
      <w:pPr>
        <w:spacing w:after="0"/>
        <w:ind w:left="720"/>
      </w:pPr>
      <w:r w:rsidRPr="000F4E08">
        <w:t xml:space="preserve">This section is a snapshot of participants’ </w:t>
      </w:r>
      <w:r w:rsidR="00727B1D" w:rsidRPr="000F4E08">
        <w:t xml:space="preserve">observations, concerns, hopes, and plans at </w:t>
      </w:r>
      <w:r w:rsidR="00A37BD4" w:rsidRPr="000F4E08">
        <w:t xml:space="preserve">an early stage of the pandemic.  </w:t>
      </w:r>
      <w:r w:rsidR="00162203" w:rsidRPr="000F4E08">
        <w:t xml:space="preserve">It is organized </w:t>
      </w:r>
      <w:r w:rsidR="008373E1" w:rsidRPr="000F4E08">
        <w:t xml:space="preserve">within the categories of Observations, Findings, Recommendations, and Resources.  </w:t>
      </w:r>
      <w:r w:rsidR="00AB45D3" w:rsidRPr="000F4E08">
        <w:t>The story continues to develop</w:t>
      </w:r>
      <w:r w:rsidR="004058A8" w:rsidRPr="000F4E08">
        <w:t xml:space="preserve"> and remains central to all (at least) near term considerations for </w:t>
      </w:r>
      <w:r w:rsidR="007C751B" w:rsidRPr="000F4E08">
        <w:t>educational planning</w:t>
      </w:r>
      <w:r w:rsidR="006B283D" w:rsidRPr="000F4E08">
        <w:t>.</w:t>
      </w:r>
    </w:p>
    <w:p w14:paraId="68B84AD7" w14:textId="77777777" w:rsidR="00FB518A" w:rsidRPr="000F4E08" w:rsidRDefault="00FB518A" w:rsidP="006442D8">
      <w:pPr>
        <w:pBdr>
          <w:top w:val="nil"/>
          <w:left w:val="nil"/>
          <w:bottom w:val="nil"/>
          <w:right w:val="nil"/>
          <w:between w:val="nil"/>
        </w:pBdr>
        <w:spacing w:after="0"/>
        <w:rPr>
          <w:b/>
          <w:u w:val="single"/>
        </w:rPr>
      </w:pPr>
    </w:p>
    <w:p w14:paraId="28729C74" w14:textId="7567E226" w:rsidR="008D7ECD" w:rsidRPr="000F4E08" w:rsidRDefault="000B4DA9" w:rsidP="00AF57D1">
      <w:pPr>
        <w:pBdr>
          <w:top w:val="nil"/>
          <w:left w:val="nil"/>
          <w:bottom w:val="nil"/>
          <w:right w:val="nil"/>
          <w:between w:val="nil"/>
        </w:pBdr>
        <w:spacing w:after="0"/>
        <w:rPr>
          <w:b/>
          <w:u w:val="single"/>
        </w:rPr>
      </w:pPr>
      <w:r w:rsidRPr="000F4E08">
        <w:rPr>
          <w:bCs/>
        </w:rPr>
        <w:tab/>
      </w:r>
    </w:p>
    <w:p w14:paraId="2BF12D86" w14:textId="77777777" w:rsidR="00127E83" w:rsidRPr="000F4E08" w:rsidRDefault="00127E83" w:rsidP="00941803">
      <w:pPr>
        <w:spacing w:after="0"/>
        <w:ind w:firstLine="720"/>
      </w:pPr>
    </w:p>
    <w:sectPr w:rsidR="00127E83" w:rsidRPr="000F4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36A9"/>
    <w:multiLevelType w:val="multilevel"/>
    <w:tmpl w:val="54C2EB06"/>
    <w:lvl w:ilvl="0">
      <w:start w:val="1"/>
      <w:numFmt w:val="bullet"/>
      <w:lvlText w:val="●"/>
      <w:lvlJc w:val="left"/>
      <w:pPr>
        <w:ind w:left="864" w:hanging="359"/>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1" w15:restartNumberingAfterBreak="0">
    <w:nsid w:val="1CC15C8D"/>
    <w:multiLevelType w:val="hybridMultilevel"/>
    <w:tmpl w:val="9F286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04731"/>
    <w:multiLevelType w:val="multilevel"/>
    <w:tmpl w:val="DC02F4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E971C25"/>
    <w:multiLevelType w:val="multilevel"/>
    <w:tmpl w:val="E6B652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1597036"/>
    <w:multiLevelType w:val="multilevel"/>
    <w:tmpl w:val="27E86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9378B9"/>
    <w:multiLevelType w:val="hybridMultilevel"/>
    <w:tmpl w:val="509241E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40"/>
    <w:rsid w:val="00006A0A"/>
    <w:rsid w:val="0002042F"/>
    <w:rsid w:val="00034EE0"/>
    <w:rsid w:val="00035614"/>
    <w:rsid w:val="000358D2"/>
    <w:rsid w:val="00042BEF"/>
    <w:rsid w:val="00052DF4"/>
    <w:rsid w:val="0007228D"/>
    <w:rsid w:val="00080113"/>
    <w:rsid w:val="00091F8A"/>
    <w:rsid w:val="000A07EE"/>
    <w:rsid w:val="000A3D14"/>
    <w:rsid w:val="000B2061"/>
    <w:rsid w:val="000B2413"/>
    <w:rsid w:val="000B39BF"/>
    <w:rsid w:val="000B4DA9"/>
    <w:rsid w:val="000C0F02"/>
    <w:rsid w:val="000D09B9"/>
    <w:rsid w:val="000D4D87"/>
    <w:rsid w:val="000D5871"/>
    <w:rsid w:val="000D75E0"/>
    <w:rsid w:val="000E1117"/>
    <w:rsid w:val="000F4E08"/>
    <w:rsid w:val="000F5819"/>
    <w:rsid w:val="000F6C11"/>
    <w:rsid w:val="001065CF"/>
    <w:rsid w:val="00111BDE"/>
    <w:rsid w:val="00123746"/>
    <w:rsid w:val="00127E83"/>
    <w:rsid w:val="001337EF"/>
    <w:rsid w:val="00135C0D"/>
    <w:rsid w:val="00137014"/>
    <w:rsid w:val="001507B6"/>
    <w:rsid w:val="00152107"/>
    <w:rsid w:val="0015547C"/>
    <w:rsid w:val="00162203"/>
    <w:rsid w:val="0017522A"/>
    <w:rsid w:val="00194DD1"/>
    <w:rsid w:val="00197F0E"/>
    <w:rsid w:val="001A31E3"/>
    <w:rsid w:val="001A4E24"/>
    <w:rsid w:val="001B02DA"/>
    <w:rsid w:val="001B0A9B"/>
    <w:rsid w:val="001B53D1"/>
    <w:rsid w:val="001D27ED"/>
    <w:rsid w:val="001D34D1"/>
    <w:rsid w:val="001E252C"/>
    <w:rsid w:val="002161D4"/>
    <w:rsid w:val="00225D05"/>
    <w:rsid w:val="00226A50"/>
    <w:rsid w:val="00233EE3"/>
    <w:rsid w:val="00235F9A"/>
    <w:rsid w:val="002477E2"/>
    <w:rsid w:val="002535B7"/>
    <w:rsid w:val="002541F4"/>
    <w:rsid w:val="002830DF"/>
    <w:rsid w:val="002844DA"/>
    <w:rsid w:val="002A4013"/>
    <w:rsid w:val="002A5E28"/>
    <w:rsid w:val="002B2240"/>
    <w:rsid w:val="002B3533"/>
    <w:rsid w:val="002D3BE4"/>
    <w:rsid w:val="002D428D"/>
    <w:rsid w:val="002D627D"/>
    <w:rsid w:val="002D6B83"/>
    <w:rsid w:val="002D6F07"/>
    <w:rsid w:val="002E0C8E"/>
    <w:rsid w:val="002F7567"/>
    <w:rsid w:val="00305DCC"/>
    <w:rsid w:val="003160C2"/>
    <w:rsid w:val="003265BB"/>
    <w:rsid w:val="00340E8F"/>
    <w:rsid w:val="00346C97"/>
    <w:rsid w:val="00353000"/>
    <w:rsid w:val="00357D21"/>
    <w:rsid w:val="00362EEA"/>
    <w:rsid w:val="00364AB6"/>
    <w:rsid w:val="00364F43"/>
    <w:rsid w:val="00366F58"/>
    <w:rsid w:val="00375690"/>
    <w:rsid w:val="003766A8"/>
    <w:rsid w:val="0038771E"/>
    <w:rsid w:val="003B4D41"/>
    <w:rsid w:val="003C233D"/>
    <w:rsid w:val="003C4B3E"/>
    <w:rsid w:val="003D02EF"/>
    <w:rsid w:val="003F68CE"/>
    <w:rsid w:val="0040120B"/>
    <w:rsid w:val="00401857"/>
    <w:rsid w:val="004058A8"/>
    <w:rsid w:val="00410F13"/>
    <w:rsid w:val="00412BE5"/>
    <w:rsid w:val="0041738C"/>
    <w:rsid w:val="0042516F"/>
    <w:rsid w:val="00425531"/>
    <w:rsid w:val="00435BB8"/>
    <w:rsid w:val="00437A8C"/>
    <w:rsid w:val="00445BBC"/>
    <w:rsid w:val="00450B81"/>
    <w:rsid w:val="00451C80"/>
    <w:rsid w:val="00452ED9"/>
    <w:rsid w:val="00462B08"/>
    <w:rsid w:val="004727CC"/>
    <w:rsid w:val="00475C8A"/>
    <w:rsid w:val="00480F22"/>
    <w:rsid w:val="00484725"/>
    <w:rsid w:val="00491141"/>
    <w:rsid w:val="004A1115"/>
    <w:rsid w:val="004B6A05"/>
    <w:rsid w:val="004B736C"/>
    <w:rsid w:val="004B74E6"/>
    <w:rsid w:val="004C0BDD"/>
    <w:rsid w:val="004E2FB7"/>
    <w:rsid w:val="004E435D"/>
    <w:rsid w:val="004F1F93"/>
    <w:rsid w:val="004F263C"/>
    <w:rsid w:val="004F3336"/>
    <w:rsid w:val="004F4FBF"/>
    <w:rsid w:val="00500CF8"/>
    <w:rsid w:val="00507231"/>
    <w:rsid w:val="00522235"/>
    <w:rsid w:val="005245ED"/>
    <w:rsid w:val="00527310"/>
    <w:rsid w:val="005344CE"/>
    <w:rsid w:val="00543497"/>
    <w:rsid w:val="00564D81"/>
    <w:rsid w:val="00566907"/>
    <w:rsid w:val="005677A3"/>
    <w:rsid w:val="00595F8B"/>
    <w:rsid w:val="005A5F7E"/>
    <w:rsid w:val="005B77E9"/>
    <w:rsid w:val="005C0D4E"/>
    <w:rsid w:val="005E05A3"/>
    <w:rsid w:val="005E10E8"/>
    <w:rsid w:val="005F4C2E"/>
    <w:rsid w:val="00614D9E"/>
    <w:rsid w:val="006262BF"/>
    <w:rsid w:val="00633C67"/>
    <w:rsid w:val="00642A43"/>
    <w:rsid w:val="006442D8"/>
    <w:rsid w:val="00646B88"/>
    <w:rsid w:val="00652579"/>
    <w:rsid w:val="00656E56"/>
    <w:rsid w:val="00657AD8"/>
    <w:rsid w:val="00674084"/>
    <w:rsid w:val="006839FF"/>
    <w:rsid w:val="006956D0"/>
    <w:rsid w:val="00697429"/>
    <w:rsid w:val="006B0E15"/>
    <w:rsid w:val="006B283D"/>
    <w:rsid w:val="006D35B6"/>
    <w:rsid w:val="006D53DC"/>
    <w:rsid w:val="006E5A53"/>
    <w:rsid w:val="007002A7"/>
    <w:rsid w:val="0070253B"/>
    <w:rsid w:val="00706267"/>
    <w:rsid w:val="00716ACC"/>
    <w:rsid w:val="00717A06"/>
    <w:rsid w:val="00720EEF"/>
    <w:rsid w:val="00727B1D"/>
    <w:rsid w:val="00743776"/>
    <w:rsid w:val="00762225"/>
    <w:rsid w:val="00772F8D"/>
    <w:rsid w:val="0077639D"/>
    <w:rsid w:val="0078499A"/>
    <w:rsid w:val="007B13BF"/>
    <w:rsid w:val="007C37C0"/>
    <w:rsid w:val="007C751B"/>
    <w:rsid w:val="007D73D8"/>
    <w:rsid w:val="007E05FA"/>
    <w:rsid w:val="007E52DA"/>
    <w:rsid w:val="007F041A"/>
    <w:rsid w:val="007F324E"/>
    <w:rsid w:val="007F4D4C"/>
    <w:rsid w:val="007F74B0"/>
    <w:rsid w:val="008009F8"/>
    <w:rsid w:val="00801E39"/>
    <w:rsid w:val="00802AB2"/>
    <w:rsid w:val="00822440"/>
    <w:rsid w:val="0082688E"/>
    <w:rsid w:val="00826C62"/>
    <w:rsid w:val="008367F0"/>
    <w:rsid w:val="008373E1"/>
    <w:rsid w:val="00841DE7"/>
    <w:rsid w:val="0086420B"/>
    <w:rsid w:val="00872F00"/>
    <w:rsid w:val="0087764D"/>
    <w:rsid w:val="00893E39"/>
    <w:rsid w:val="008A3518"/>
    <w:rsid w:val="008A56BF"/>
    <w:rsid w:val="008A6D95"/>
    <w:rsid w:val="008C15ED"/>
    <w:rsid w:val="008C2753"/>
    <w:rsid w:val="008C440F"/>
    <w:rsid w:val="008D7ECD"/>
    <w:rsid w:val="008E3932"/>
    <w:rsid w:val="008E4280"/>
    <w:rsid w:val="008F0310"/>
    <w:rsid w:val="008F31CA"/>
    <w:rsid w:val="00910541"/>
    <w:rsid w:val="00916F2F"/>
    <w:rsid w:val="009243E4"/>
    <w:rsid w:val="00927CE0"/>
    <w:rsid w:val="0093360A"/>
    <w:rsid w:val="0093648B"/>
    <w:rsid w:val="00941803"/>
    <w:rsid w:val="00960BE1"/>
    <w:rsid w:val="009649AF"/>
    <w:rsid w:val="00966D7C"/>
    <w:rsid w:val="009869A4"/>
    <w:rsid w:val="009B195D"/>
    <w:rsid w:val="009C5EC0"/>
    <w:rsid w:val="009D00B3"/>
    <w:rsid w:val="009D1486"/>
    <w:rsid w:val="009D64D9"/>
    <w:rsid w:val="009E2A9A"/>
    <w:rsid w:val="009E46F4"/>
    <w:rsid w:val="009E4E1E"/>
    <w:rsid w:val="009F2B56"/>
    <w:rsid w:val="00A00552"/>
    <w:rsid w:val="00A130AD"/>
    <w:rsid w:val="00A37BD4"/>
    <w:rsid w:val="00A40FF2"/>
    <w:rsid w:val="00A41B6F"/>
    <w:rsid w:val="00A63D01"/>
    <w:rsid w:val="00A67368"/>
    <w:rsid w:val="00A67CFA"/>
    <w:rsid w:val="00A83B65"/>
    <w:rsid w:val="00A852E6"/>
    <w:rsid w:val="00A902BE"/>
    <w:rsid w:val="00A9115B"/>
    <w:rsid w:val="00A920C8"/>
    <w:rsid w:val="00A93238"/>
    <w:rsid w:val="00A96024"/>
    <w:rsid w:val="00AA1F23"/>
    <w:rsid w:val="00AB0EB4"/>
    <w:rsid w:val="00AB45D3"/>
    <w:rsid w:val="00AC1D56"/>
    <w:rsid w:val="00AD0508"/>
    <w:rsid w:val="00AD35A9"/>
    <w:rsid w:val="00AD5EB7"/>
    <w:rsid w:val="00AD78CB"/>
    <w:rsid w:val="00AE098F"/>
    <w:rsid w:val="00AE17FF"/>
    <w:rsid w:val="00AE619A"/>
    <w:rsid w:val="00AF01F3"/>
    <w:rsid w:val="00AF3270"/>
    <w:rsid w:val="00AF3376"/>
    <w:rsid w:val="00AF57D1"/>
    <w:rsid w:val="00AF7CCD"/>
    <w:rsid w:val="00B00EAE"/>
    <w:rsid w:val="00B1432C"/>
    <w:rsid w:val="00B14BD8"/>
    <w:rsid w:val="00B30978"/>
    <w:rsid w:val="00B30AC4"/>
    <w:rsid w:val="00B553CF"/>
    <w:rsid w:val="00B627DB"/>
    <w:rsid w:val="00B62AD7"/>
    <w:rsid w:val="00B73CC3"/>
    <w:rsid w:val="00B74927"/>
    <w:rsid w:val="00B76CFE"/>
    <w:rsid w:val="00B80787"/>
    <w:rsid w:val="00B836BB"/>
    <w:rsid w:val="00B975CB"/>
    <w:rsid w:val="00BA4EE1"/>
    <w:rsid w:val="00BB1616"/>
    <w:rsid w:val="00BB24A6"/>
    <w:rsid w:val="00BB3BB7"/>
    <w:rsid w:val="00BB4753"/>
    <w:rsid w:val="00BC0D2C"/>
    <w:rsid w:val="00BC515E"/>
    <w:rsid w:val="00BD4278"/>
    <w:rsid w:val="00C074AA"/>
    <w:rsid w:val="00C1242E"/>
    <w:rsid w:val="00C136CA"/>
    <w:rsid w:val="00C169AF"/>
    <w:rsid w:val="00C2276F"/>
    <w:rsid w:val="00C22BA7"/>
    <w:rsid w:val="00C240F2"/>
    <w:rsid w:val="00C34786"/>
    <w:rsid w:val="00C36A73"/>
    <w:rsid w:val="00C428BB"/>
    <w:rsid w:val="00C6239C"/>
    <w:rsid w:val="00C6333E"/>
    <w:rsid w:val="00C835EA"/>
    <w:rsid w:val="00C846FF"/>
    <w:rsid w:val="00C9092E"/>
    <w:rsid w:val="00C948B1"/>
    <w:rsid w:val="00CA4B71"/>
    <w:rsid w:val="00CC388F"/>
    <w:rsid w:val="00CD1EC9"/>
    <w:rsid w:val="00CD355C"/>
    <w:rsid w:val="00CD4E89"/>
    <w:rsid w:val="00CF4E6A"/>
    <w:rsid w:val="00CF6020"/>
    <w:rsid w:val="00D06757"/>
    <w:rsid w:val="00D12ACE"/>
    <w:rsid w:val="00D266D6"/>
    <w:rsid w:val="00D26F9E"/>
    <w:rsid w:val="00D302FD"/>
    <w:rsid w:val="00D32652"/>
    <w:rsid w:val="00D432BD"/>
    <w:rsid w:val="00D449CA"/>
    <w:rsid w:val="00D61532"/>
    <w:rsid w:val="00D62504"/>
    <w:rsid w:val="00D6678E"/>
    <w:rsid w:val="00D845BC"/>
    <w:rsid w:val="00D8529A"/>
    <w:rsid w:val="00DA5D71"/>
    <w:rsid w:val="00DB3727"/>
    <w:rsid w:val="00DC7932"/>
    <w:rsid w:val="00DD47F8"/>
    <w:rsid w:val="00DE0984"/>
    <w:rsid w:val="00DE5E15"/>
    <w:rsid w:val="00DE7B64"/>
    <w:rsid w:val="00E0217B"/>
    <w:rsid w:val="00E02295"/>
    <w:rsid w:val="00E41E15"/>
    <w:rsid w:val="00E43B78"/>
    <w:rsid w:val="00E43FEA"/>
    <w:rsid w:val="00E6278D"/>
    <w:rsid w:val="00E7385C"/>
    <w:rsid w:val="00E76155"/>
    <w:rsid w:val="00E76BA7"/>
    <w:rsid w:val="00E77C87"/>
    <w:rsid w:val="00EB5592"/>
    <w:rsid w:val="00EE0F96"/>
    <w:rsid w:val="00EE24D7"/>
    <w:rsid w:val="00EE5D70"/>
    <w:rsid w:val="00EE6D9A"/>
    <w:rsid w:val="00EE7646"/>
    <w:rsid w:val="00EF0EEE"/>
    <w:rsid w:val="00EF275F"/>
    <w:rsid w:val="00EF2C16"/>
    <w:rsid w:val="00F00618"/>
    <w:rsid w:val="00F12E6B"/>
    <w:rsid w:val="00F167D3"/>
    <w:rsid w:val="00F27E86"/>
    <w:rsid w:val="00F3424E"/>
    <w:rsid w:val="00F402E6"/>
    <w:rsid w:val="00F53A3E"/>
    <w:rsid w:val="00F629EB"/>
    <w:rsid w:val="00F67386"/>
    <w:rsid w:val="00F7307C"/>
    <w:rsid w:val="00F75159"/>
    <w:rsid w:val="00F7637E"/>
    <w:rsid w:val="00F83A81"/>
    <w:rsid w:val="00F91B7C"/>
    <w:rsid w:val="00FA0BA1"/>
    <w:rsid w:val="00FA534A"/>
    <w:rsid w:val="00FA55D6"/>
    <w:rsid w:val="00FB43B8"/>
    <w:rsid w:val="00FB518A"/>
    <w:rsid w:val="00FD065B"/>
    <w:rsid w:val="00FD1EB1"/>
    <w:rsid w:val="00FE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F796"/>
  <w15:chartTrackingRefBased/>
  <w15:docId w15:val="{E43298D8-3964-48B4-87AF-04CE581B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5ED"/>
    <w:pPr>
      <w:ind w:left="720"/>
      <w:contextualSpacing/>
    </w:pPr>
  </w:style>
  <w:style w:type="paragraph" w:styleId="BalloonText">
    <w:name w:val="Balloon Text"/>
    <w:basedOn w:val="Normal"/>
    <w:link w:val="BalloonTextChar"/>
    <w:uiPriority w:val="99"/>
    <w:semiHidden/>
    <w:unhideWhenUsed/>
    <w:rsid w:val="00316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Thiede</dc:creator>
  <cp:keywords/>
  <dc:description/>
  <cp:lastModifiedBy>Kurt Thiede</cp:lastModifiedBy>
  <cp:revision>3</cp:revision>
  <cp:lastPrinted>2020-09-25T18:04:00Z</cp:lastPrinted>
  <dcterms:created xsi:type="dcterms:W3CDTF">2020-11-04T16:12:00Z</dcterms:created>
  <dcterms:modified xsi:type="dcterms:W3CDTF">2020-11-04T16:13:00Z</dcterms:modified>
</cp:coreProperties>
</file>